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highlight w:val="none"/>
          <w:lang w:val="en-US" w:eastAsia="zh-CN"/>
        </w:rPr>
      </w:pPr>
      <w:bookmarkStart w:id="0" w:name="_Hlk19781073"/>
      <w:r>
        <w:rPr>
          <w:highlight w:val="none"/>
        </w:rPr>
        <w:t>3GPP T</w:t>
      </w:r>
      <w:bookmarkStart w:id="1" w:name="_Ref452454252"/>
      <w:bookmarkEnd w:id="1"/>
      <w:r>
        <w:rPr>
          <w:highlight w:val="none"/>
        </w:rPr>
        <w:t>SG-</w:t>
      </w:r>
      <w:r>
        <w:rPr>
          <w:szCs w:val="24"/>
          <w:highlight w:val="none"/>
        </w:rPr>
        <w:t>RAN WG3 Meeting #12</w:t>
      </w:r>
      <w:r>
        <w:rPr>
          <w:rFonts w:hint="eastAsia" w:eastAsia="宋体"/>
          <w:szCs w:val="24"/>
          <w:highlight w:val="none"/>
          <w:lang w:val="en-US" w:eastAsia="zh-CN"/>
        </w:rPr>
        <w:t>7</w:t>
      </w:r>
      <w:r>
        <w:rPr>
          <w:highlight w:val="none"/>
        </w:rPr>
        <w:tab/>
      </w:r>
      <w:r>
        <w:rPr>
          <w:highlight w:val="none"/>
          <w:lang w:eastAsia="ja-JP"/>
        </w:rPr>
        <w:t>R3-</w:t>
      </w:r>
      <w:r>
        <w:rPr>
          <w:rFonts w:hint="eastAsia"/>
          <w:highlight w:val="none"/>
          <w:lang w:eastAsia="ja-JP"/>
        </w:rPr>
        <w:t>2</w:t>
      </w:r>
      <w:r>
        <w:rPr>
          <w:rFonts w:hint="eastAsia" w:eastAsia="宋体"/>
          <w:highlight w:val="none"/>
          <w:lang w:val="en-US" w:eastAsia="zh-CN"/>
        </w:rPr>
        <w:t>51890</w:t>
      </w:r>
    </w:p>
    <w:p>
      <w:pPr>
        <w:pStyle w:val="118"/>
        <w:rPr>
          <w:rFonts w:hint="eastAsia" w:eastAsia="宋体"/>
          <w:highlight w:val="none"/>
          <w:lang w:eastAsia="zh-CN"/>
        </w:rPr>
      </w:pPr>
      <w:bookmarkStart w:id="2" w:name="_Hlk19781143"/>
      <w:r>
        <w:rPr>
          <w:rFonts w:hint="eastAsia" w:eastAsia="宋体"/>
          <w:highlight w:val="none"/>
          <w:lang w:val="en-US" w:eastAsia="zh-CN"/>
        </w:rPr>
        <w:t>Athens</w:t>
      </w:r>
      <w:r>
        <w:rPr>
          <w:highlight w:val="none"/>
        </w:rPr>
        <w:t xml:space="preserve">, </w:t>
      </w:r>
      <w:r>
        <w:rPr>
          <w:rFonts w:hint="eastAsia" w:eastAsia="宋体"/>
          <w:highlight w:val="none"/>
          <w:lang w:val="en-US" w:eastAsia="zh-CN"/>
        </w:rPr>
        <w:t>Greece</w:t>
      </w:r>
      <w:r>
        <w:rPr>
          <w:highlight w:val="none"/>
        </w:rPr>
        <w:t>, 1</w:t>
      </w:r>
      <w:r>
        <w:rPr>
          <w:rFonts w:hint="eastAsia" w:eastAsia="宋体"/>
          <w:highlight w:val="none"/>
          <w:lang w:val="en-US" w:eastAsia="zh-CN"/>
        </w:rPr>
        <w:t>7</w:t>
      </w:r>
      <w:r>
        <w:rPr>
          <w:rFonts w:hint="eastAsia" w:eastAsia="宋体"/>
          <w:highlight w:val="none"/>
          <w:vertAlign w:val="superscript"/>
          <w:lang w:val="en-US" w:eastAsia="zh-CN"/>
        </w:rPr>
        <w:t>th</w:t>
      </w:r>
      <w:r>
        <w:rPr>
          <w:highlight w:val="none"/>
        </w:rPr>
        <w:t>-2</w:t>
      </w:r>
      <w:r>
        <w:rPr>
          <w:rFonts w:hint="eastAsia" w:eastAsia="宋体"/>
          <w:highlight w:val="none"/>
          <w:lang w:val="en-US" w:eastAsia="zh-CN"/>
        </w:rPr>
        <w:t>1</w:t>
      </w:r>
      <w:r>
        <w:rPr>
          <w:rFonts w:hint="eastAsia" w:eastAsia="宋体"/>
          <w:highlight w:val="none"/>
          <w:vertAlign w:val="superscript"/>
          <w:lang w:val="en-US" w:eastAsia="zh-CN"/>
        </w:rPr>
        <w:t>st</w:t>
      </w:r>
      <w:r>
        <w:rPr>
          <w:highlight w:val="none"/>
        </w:rPr>
        <w:t xml:space="preserve"> </w:t>
      </w:r>
      <w:r>
        <w:rPr>
          <w:rFonts w:hint="eastAsia" w:eastAsia="宋体"/>
          <w:highlight w:val="none"/>
          <w:lang w:val="en-US" w:eastAsia="zh-CN"/>
        </w:rPr>
        <w:t>Feb</w:t>
      </w:r>
      <w:r>
        <w:rPr>
          <w:highlight w:val="none"/>
        </w:rPr>
        <w:t xml:space="preserve"> 202</w:t>
      </w:r>
      <w:r>
        <w:rPr>
          <w:rFonts w:hint="eastAsia" w:eastAsia="宋体"/>
          <w:highlight w:val="none"/>
          <w:lang w:val="en-US" w:eastAsia="zh-CN"/>
        </w:rPr>
        <w:t>5</w:t>
      </w:r>
    </w:p>
    <w:bookmarkEnd w:id="0"/>
    <w:bookmarkEnd w:id="2"/>
    <w:p>
      <w:pPr>
        <w:pStyle w:val="35"/>
        <w:rPr>
          <w:rFonts w:cs="Arial"/>
          <w:bCs/>
          <w:sz w:val="24"/>
          <w:highlight w:val="none"/>
          <w:lang w:eastAsia="ja-JP"/>
        </w:rPr>
      </w:pPr>
    </w:p>
    <w:p>
      <w:pPr>
        <w:pStyle w:val="35"/>
        <w:rPr>
          <w:rFonts w:cs="Arial"/>
          <w:bCs/>
          <w:sz w:val="24"/>
          <w:highlight w:val="none"/>
          <w:lang w:eastAsia="ja-JP"/>
        </w:rPr>
      </w:pPr>
    </w:p>
    <w:p>
      <w:pPr>
        <w:pStyle w:val="89"/>
        <w:rPr>
          <w:rFonts w:hint="eastAsia" w:eastAsia="宋体"/>
          <w:b w:val="0"/>
          <w:bCs w:val="0"/>
          <w:highlight w:val="none"/>
          <w:lang w:val="en-US" w:eastAsia="zh-CN"/>
        </w:rPr>
      </w:pPr>
      <w:r>
        <w:rPr>
          <w:highlight w:val="none"/>
        </w:rPr>
        <w:t>Agenda Item:</w:t>
      </w:r>
      <w:r>
        <w:rPr>
          <w:highlight w:val="none"/>
        </w:rPr>
        <w:tab/>
      </w:r>
      <w:r>
        <w:rPr>
          <w:b w:val="0"/>
          <w:bCs w:val="0"/>
          <w:highlight w:val="none"/>
        </w:rPr>
        <w:t>1</w:t>
      </w:r>
      <w:r>
        <w:rPr>
          <w:rFonts w:hint="eastAsia" w:eastAsia="宋体"/>
          <w:b w:val="0"/>
          <w:bCs w:val="0"/>
          <w:highlight w:val="none"/>
          <w:lang w:val="en-US" w:eastAsia="zh-CN"/>
        </w:rPr>
        <w:t>4</w:t>
      </w:r>
      <w:r>
        <w:rPr>
          <w:b w:val="0"/>
          <w:bCs w:val="0"/>
          <w:highlight w:val="none"/>
        </w:rPr>
        <w:t>.</w:t>
      </w:r>
      <w:r>
        <w:rPr>
          <w:rFonts w:hint="eastAsia" w:eastAsia="宋体"/>
          <w:b w:val="0"/>
          <w:bCs w:val="0"/>
          <w:highlight w:val="none"/>
          <w:lang w:val="en-US" w:eastAsia="zh-CN"/>
        </w:rPr>
        <w:t>2</w:t>
      </w:r>
    </w:p>
    <w:p>
      <w:pPr>
        <w:pStyle w:val="89"/>
        <w:rPr>
          <w:highlight w:val="none"/>
          <w:lang w:eastAsia="ja-JP"/>
        </w:rPr>
      </w:pPr>
      <w:r>
        <w:rPr>
          <w:highlight w:val="none"/>
        </w:rPr>
        <w:t>Source:</w:t>
      </w:r>
      <w:r>
        <w:rPr>
          <w:highlight w:val="none"/>
        </w:rPr>
        <w:tab/>
      </w:r>
      <w:r>
        <w:rPr>
          <w:b w:val="0"/>
          <w:bCs w:val="0"/>
          <w:highlight w:val="none"/>
        </w:rPr>
        <w:t>ZTE Corporation</w:t>
      </w:r>
    </w:p>
    <w:p>
      <w:pPr>
        <w:pStyle w:val="89"/>
        <w:ind w:left="1985" w:hanging="1985"/>
        <w:rPr>
          <w:lang w:eastAsia="ja-JP"/>
        </w:rPr>
      </w:pPr>
      <w:r>
        <w:t>Title:</w:t>
      </w:r>
      <w:r>
        <w:tab/>
      </w:r>
      <w:r>
        <w:rPr>
          <w:rFonts w:hint="eastAsia" w:eastAsia="宋体"/>
          <w:b w:val="0"/>
          <w:bCs w:val="0"/>
          <w:lang w:val="en-US" w:eastAsia="zh-CN"/>
        </w:rPr>
        <w:t>Further</w:t>
      </w:r>
      <w:r>
        <w:rPr>
          <w:rFonts w:hint="eastAsia"/>
          <w:b w:val="0"/>
          <w:bCs w:val="0"/>
        </w:rPr>
        <w:t xml:space="preserve"> Discussion on NTN broa</w:t>
      </w:r>
      <w:bookmarkStart w:id="29" w:name="_GoBack"/>
      <w:bookmarkEnd w:id="29"/>
      <w:r>
        <w:rPr>
          <w:rFonts w:hint="eastAsia"/>
          <w:b w:val="0"/>
          <w:bCs w:val="0"/>
        </w:rPr>
        <w:t>dcast service supporting</w:t>
      </w:r>
    </w:p>
    <w:p>
      <w:pPr>
        <w:pStyle w:val="89"/>
        <w:rPr>
          <w:b w:val="0"/>
          <w:bCs w:val="0"/>
          <w:lang w:eastAsia="ja-JP"/>
        </w:rPr>
      </w:pPr>
      <w:r>
        <w:t>Document for:</w:t>
      </w:r>
      <w:r>
        <w:tab/>
      </w:r>
      <w:r>
        <w:rPr>
          <w:b w:val="0"/>
          <w:bCs w:val="0"/>
        </w:rPr>
        <w:t xml:space="preserve">Discussion &amp; </w:t>
      </w:r>
      <w:r>
        <w:rPr>
          <w:b w:val="0"/>
          <w:bCs w:val="0"/>
          <w:lang w:eastAsia="ja-JP"/>
        </w:rPr>
        <w:t>Approval</w:t>
      </w:r>
    </w:p>
    <w:p>
      <w:pPr>
        <w:pStyle w:val="3"/>
        <w:numPr>
          <w:ilvl w:val="0"/>
          <w:numId w:val="1"/>
        </w:numPr>
        <w:rPr>
          <w:rFonts w:cs="Arial"/>
        </w:rPr>
      </w:pPr>
      <w:r>
        <w:rPr>
          <w:rFonts w:cs="Arial"/>
        </w:rPr>
        <w:t>Introduction</w:t>
      </w:r>
    </w:p>
    <w:p>
      <w:pPr>
        <w:bidi w:val="0"/>
        <w:rPr>
          <w:rFonts w:hint="eastAsia"/>
          <w:lang w:val="en-US" w:eastAsia="zh-CN"/>
        </w:rPr>
      </w:pPr>
      <w:r>
        <w:rPr>
          <w:rFonts w:hint="eastAsia"/>
          <w:lang w:val="en-US" w:eastAsia="zh-CN"/>
        </w:rPr>
        <w:t>In</w:t>
      </w:r>
      <w:r>
        <w:rPr>
          <w:rFonts w:hint="default"/>
          <w:lang w:val="en-US" w:eastAsia="zh-CN"/>
        </w:rPr>
        <w:t xml:space="preserve"> </w:t>
      </w:r>
      <w:r>
        <w:rPr>
          <w:rFonts w:hint="eastAsia"/>
          <w:lang w:val="en-US" w:eastAsia="zh-CN"/>
        </w:rPr>
        <w:t>previous meetings, the support of NTN MBS broadcast service was discussed, and the following agreements were reached.</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ind w:left="144" w:hanging="144"/>
              <w:jc w:val="both"/>
              <w:rPr>
                <w:rFonts w:hint="default" w:eastAsia="MS Mincho" w:cs="Calibri"/>
                <w:i/>
                <w:iCs/>
                <w:color w:val="00B050"/>
                <w:kern w:val="2"/>
                <w:sz w:val="16"/>
                <w:szCs w:val="16"/>
                <w:lang w:eastAsia="en-US"/>
              </w:rPr>
            </w:pPr>
            <w:r>
              <w:rPr>
                <w:rFonts w:hint="default" w:eastAsia="MS Mincho" w:cs="Calibri"/>
                <w:i/>
                <w:iCs/>
                <w:color w:val="00B050"/>
                <w:kern w:val="2"/>
                <w:sz w:val="16"/>
                <w:szCs w:val="16"/>
                <w:lang w:eastAsia="en-US"/>
              </w:rPr>
              <w:t>RAN3 starts work on MBS broadcast service.</w:t>
            </w:r>
          </w:p>
          <w:p>
            <w:pPr>
              <w:widowControl w:val="0"/>
              <w:ind w:left="144" w:hanging="144"/>
              <w:jc w:val="both"/>
              <w:rPr>
                <w:rFonts w:hint="default" w:eastAsia="MS Mincho" w:cs="Calibri"/>
                <w:i/>
                <w:iCs/>
                <w:color w:val="00B050"/>
                <w:kern w:val="2"/>
                <w:sz w:val="16"/>
                <w:szCs w:val="16"/>
                <w:lang w:eastAsia="en-US"/>
              </w:rPr>
            </w:pPr>
            <w:r>
              <w:rPr>
                <w:rFonts w:hint="default" w:eastAsia="MS Mincho" w:cs="Calibri"/>
                <w:i/>
                <w:iCs/>
                <w:color w:val="00B050"/>
                <w:kern w:val="2"/>
                <w:sz w:val="16"/>
                <w:szCs w:val="16"/>
                <w:lang w:eastAsia="en-US"/>
              </w:rPr>
              <w:t>WA: The mapped cell ID can be used to define MBS broadcast service in NTN.</w:t>
            </w:r>
          </w:p>
          <w:p>
            <w:pPr>
              <w:widowControl w:val="0"/>
              <w:ind w:left="144" w:hanging="144"/>
              <w:jc w:val="both"/>
              <w:rPr>
                <w:rFonts w:hint="default" w:eastAsia="MS Mincho" w:cs="Calibri"/>
                <w:i/>
                <w:iCs/>
                <w:color w:val="00B050"/>
                <w:kern w:val="2"/>
                <w:sz w:val="16"/>
                <w:szCs w:val="16"/>
                <w:lang w:eastAsia="en-US"/>
              </w:rPr>
            </w:pPr>
            <w:r>
              <w:rPr>
                <w:rFonts w:hint="default" w:eastAsia="MS Mincho" w:cs="Calibri"/>
                <w:i/>
                <w:iCs/>
                <w:color w:val="00B050"/>
                <w:kern w:val="2"/>
                <w:sz w:val="16"/>
                <w:szCs w:val="16"/>
                <w:lang w:eastAsia="en-US"/>
              </w:rPr>
              <w:t>Mapped Cell ID(s) could be used to describe the intended MBS service area for NTN.</w:t>
            </w:r>
          </w:p>
          <w:p>
            <w:pPr>
              <w:widowControl w:val="0"/>
              <w:ind w:left="144" w:hanging="144"/>
              <w:jc w:val="both"/>
              <w:rPr>
                <w:rFonts w:hint="default" w:eastAsia="MS Mincho" w:cs="Calibri"/>
                <w:i/>
                <w:iCs/>
                <w:color w:val="00B050"/>
                <w:kern w:val="2"/>
                <w:sz w:val="16"/>
                <w:szCs w:val="16"/>
                <w:lang w:val="en-US" w:eastAsia="zh-CN"/>
              </w:rPr>
            </w:pPr>
            <w:r>
              <w:rPr>
                <w:rFonts w:hint="default" w:eastAsia="MS Mincho" w:cs="Calibri"/>
                <w:i/>
                <w:iCs/>
                <w:color w:val="00B050"/>
                <w:kern w:val="2"/>
                <w:sz w:val="16"/>
                <w:szCs w:val="16"/>
                <w:lang w:val="en-GB" w:eastAsia="en-US"/>
              </w:rPr>
              <w:t xml:space="preserve">RAN3 takes the assumption that geographical </w:t>
            </w:r>
            <w:r>
              <w:rPr>
                <w:rFonts w:hint="default" w:eastAsia="MS Mincho" w:cs="Calibri"/>
                <w:i/>
                <w:iCs/>
                <w:color w:val="00B050"/>
                <w:kern w:val="2"/>
                <w:sz w:val="16"/>
                <w:szCs w:val="16"/>
                <w:lang w:eastAsia="en-US"/>
              </w:rPr>
              <w:t>service area information can be transmitted from CN with the same format as defined in Uu.</w:t>
            </w:r>
          </w:p>
          <w:p>
            <w:pPr>
              <w:widowControl w:val="0"/>
              <w:ind w:left="144" w:hanging="144"/>
              <w:jc w:val="both"/>
              <w:rPr>
                <w:rFonts w:hint="default" w:eastAsia="MS Mincho" w:cs="Calibri"/>
                <w:i/>
                <w:iCs/>
                <w:color w:val="00B050"/>
                <w:kern w:val="2"/>
                <w:sz w:val="16"/>
                <w:szCs w:val="16"/>
                <w:lang w:val="en-US" w:eastAsia="zh-CN"/>
              </w:rPr>
            </w:pPr>
            <w:r>
              <w:rPr>
                <w:rFonts w:hint="default" w:eastAsia="MS Mincho" w:cs="Calibri"/>
                <w:i/>
                <w:iCs/>
                <w:color w:val="00B050"/>
                <w:kern w:val="2"/>
                <w:sz w:val="16"/>
                <w:szCs w:val="16"/>
                <w:lang w:val="en-US" w:eastAsia="zh-CN"/>
              </w:rPr>
              <w:t>The current MBS broadcast procedures can be reused for NR NTN without any enhancement.</w:t>
            </w:r>
          </w:p>
          <w:p>
            <w:pPr>
              <w:widowControl w:val="0"/>
              <w:ind w:left="144" w:hanging="144"/>
              <w:jc w:val="both"/>
              <w:rPr>
                <w:rFonts w:hint="default"/>
                <w:lang w:val="en-US" w:eastAsia="zh-CN"/>
              </w:rPr>
            </w:pPr>
            <w:r>
              <w:rPr>
                <w:rFonts w:eastAsia="MS Mincho" w:cs="Calibri"/>
                <w:i/>
                <w:iCs/>
                <w:color w:val="00B050"/>
                <w:kern w:val="2"/>
                <w:sz w:val="16"/>
                <w:szCs w:val="16"/>
              </w:rPr>
              <w:t>Encode the Intended MBS service area as OCT STRING which refers to RAN2 spec.</w:t>
            </w:r>
          </w:p>
        </w:tc>
      </w:tr>
    </w:tbl>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 xml:space="preserve">In this contribution, we provide our further views on the support of </w:t>
      </w:r>
      <w:r>
        <w:rPr>
          <w:rFonts w:hint="eastAsia" w:cs="Times New Roman"/>
          <w:lang w:val="en-US" w:eastAsia="zh-CN" w:bidi="ar-SA"/>
        </w:rPr>
        <w:t>broadcast service</w:t>
      </w:r>
      <w:r>
        <w:rPr>
          <w:rFonts w:hint="eastAsia" w:ascii="Times New Roman" w:hAnsi="Times New Roman" w:eastAsia="Times New Roman" w:cs="Times New Roman"/>
          <w:lang w:val="en-US" w:eastAsia="zh-CN" w:bidi="ar-SA"/>
        </w:rPr>
        <w:t xml:space="preserve"> for NTN in Rel-19.</w:t>
      </w:r>
    </w:p>
    <w:p>
      <w:pPr>
        <w:pStyle w:val="3"/>
        <w:numPr>
          <w:ilvl w:val="0"/>
          <w:numId w:val="1"/>
        </w:numPr>
      </w:pPr>
      <w:r>
        <w:t>Dis</w:t>
      </w:r>
      <w:r>
        <w:rPr>
          <w:rFonts w:hint="eastAsia" w:eastAsia="宋体"/>
          <w:lang w:val="en-US" w:eastAsia="zh-CN"/>
        </w:rPr>
        <w:t>c</w:t>
      </w:r>
      <w:r>
        <w:t>ussion</w:t>
      </w:r>
    </w:p>
    <w:p>
      <w:pPr>
        <w:pStyle w:val="2"/>
        <w:rPr>
          <w:rFonts w:hint="eastAsia" w:cs="Times New Roman"/>
          <w:lang w:val="en-US" w:eastAsia="zh-CN" w:bidi="ar-SA"/>
        </w:rPr>
      </w:pPr>
      <w:r>
        <w:rPr>
          <w:rFonts w:hint="eastAsia" w:ascii="Times New Roman" w:hAnsi="Times New Roman" w:eastAsia="Times New Roman" w:cs="Times New Roman"/>
          <w:lang w:val="en-US" w:eastAsia="zh-CN" w:bidi="ar-SA"/>
        </w:rPr>
        <w:t xml:space="preserve">In </w:t>
      </w:r>
      <w:r>
        <w:rPr>
          <w:rFonts w:hint="eastAsia" w:cs="Times New Roman"/>
          <w:lang w:val="en-US" w:eastAsia="zh-CN" w:bidi="ar-SA"/>
        </w:rPr>
        <w:t xml:space="preserve">the previous </w:t>
      </w:r>
      <w:r>
        <w:rPr>
          <w:rFonts w:hint="eastAsia" w:ascii="Times New Roman" w:hAnsi="Times New Roman" w:eastAsia="Times New Roman" w:cs="Times New Roman"/>
          <w:lang w:val="en-US" w:eastAsia="zh-CN" w:bidi="ar-SA"/>
        </w:rPr>
        <w:t>meeting</w:t>
      </w:r>
      <w:r>
        <w:rPr>
          <w:rFonts w:hint="eastAsia" w:cs="Times New Roman"/>
          <w:lang w:val="en-US" w:eastAsia="zh-CN" w:bidi="ar-SA"/>
        </w:rPr>
        <w:t>s</w:t>
      </w:r>
      <w:r>
        <w:rPr>
          <w:rFonts w:hint="eastAsia" w:ascii="Times New Roman" w:hAnsi="Times New Roman" w:eastAsia="Times New Roman" w:cs="Times New Roman"/>
          <w:lang w:val="en-US" w:eastAsia="zh-CN" w:bidi="ar-SA"/>
        </w:rPr>
        <w:t>, it was agreed that the current</w:t>
      </w:r>
      <w:r>
        <w:rPr>
          <w:rFonts w:hint="eastAsia" w:cs="Times New Roman"/>
          <w:lang w:val="en-US" w:eastAsia="zh-CN" w:bidi="ar-SA"/>
        </w:rPr>
        <w:t xml:space="preserve"> MBS broadcast procedures can be reused for NR NTN without any enhancement, and the encoding of the MBS intended service area info should refers to RAN2 specification. Based on the progress so far, the MBS broadcast service has been supported for NTN, and there is no explicit work to be done for this feature.</w:t>
      </w:r>
    </w:p>
    <w:p>
      <w:pPr>
        <w:pStyle w:val="2"/>
        <w:rPr>
          <w:rFonts w:hint="default" w:cs="Times New Roman"/>
          <w:lang w:val="en-US" w:eastAsia="zh-CN" w:bidi="ar-SA"/>
        </w:rPr>
      </w:pPr>
      <w:r>
        <w:rPr>
          <w:rFonts w:hint="eastAsia" w:cs="Times New Roman"/>
          <w:lang w:val="en-US" w:eastAsia="zh-CN" w:bidi="ar-SA"/>
        </w:rPr>
        <w:t>However, based on the objective of R19 NR NTN WI, the signaling of intended service area is for a broadcast service, not only for the MBS broadcast. Therefore, the other broadcast services could be also considered, such as the PWS service.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numPr>
                <w:ilvl w:val="0"/>
                <w:numId w:val="0"/>
              </w:numPr>
              <w:spacing w:after="0" w:line="276" w:lineRule="auto"/>
              <w:ind w:leftChars="0"/>
              <w:jc w:val="both"/>
              <w:rPr>
                <w:rFonts w:eastAsia="Malgun Gothic"/>
                <w:lang w:val="en-US" w:eastAsia="ko-KR"/>
              </w:rPr>
            </w:pPr>
            <w:r>
              <w:rPr>
                <w:rFonts w:eastAsia="Malgun Gothic"/>
                <w:lang w:val="en-US" w:eastAsia="ko-KR"/>
              </w:rPr>
              <w:t>Specify signaling of the intended service area of a broadcast service (e.g. MBS broadcast) via NR NTN [RAN2, RAN3]</w:t>
            </w:r>
          </w:p>
          <w:p>
            <w:pPr>
              <w:pStyle w:val="119"/>
              <w:widowControl w:val="0"/>
              <w:numPr>
                <w:ilvl w:val="0"/>
                <w:numId w:val="2"/>
              </w:numPr>
              <w:spacing w:after="0"/>
              <w:ind w:hanging="357"/>
              <w:jc w:val="both"/>
              <w:rPr>
                <w:rFonts w:ascii="Times New Roman" w:hAnsi="Times New Roman"/>
                <w:sz w:val="20"/>
                <w:szCs w:val="20"/>
              </w:rPr>
            </w:pPr>
            <w:r>
              <w:rPr>
                <w:rFonts w:ascii="Times New Roman" w:hAnsi="Times New Roman"/>
                <w:sz w:val="20"/>
                <w:szCs w:val="20"/>
              </w:rPr>
              <w:t>Specify SIB signaling to indicate the intended service area in case the satellite footprint covers a larger area. [RAN2]</w:t>
            </w:r>
          </w:p>
          <w:p>
            <w:pPr>
              <w:pStyle w:val="119"/>
              <w:widowControl w:val="0"/>
              <w:numPr>
                <w:ilvl w:val="0"/>
                <w:numId w:val="2"/>
              </w:numPr>
              <w:spacing w:after="0"/>
              <w:ind w:hanging="357"/>
              <w:jc w:val="both"/>
              <w:rPr>
                <w:rFonts w:hint="default" w:cs="Times New Roman"/>
                <w:vertAlign w:val="baseline"/>
                <w:lang w:val="en-US" w:eastAsia="zh-CN" w:bidi="ar-SA"/>
              </w:rPr>
            </w:pPr>
            <w:r>
              <w:rPr>
                <w:rFonts w:ascii="Times New Roman" w:hAnsi="Times New Roman"/>
                <w:sz w:val="20"/>
                <w:szCs w:val="20"/>
              </w:rPr>
              <w:t>Specify the necessary signaling between CN and NG-RAN. [RAN3]</w:t>
            </w:r>
          </w:p>
        </w:tc>
      </w:tr>
    </w:tbl>
    <w:p>
      <w:pPr>
        <w:pStyle w:val="2"/>
        <w:rPr>
          <w:rFonts w:hint="eastAsia" w:cs="Times New Roman"/>
          <w:lang w:val="en-US" w:eastAsia="zh-CN" w:bidi="ar-SA"/>
        </w:rPr>
      </w:pPr>
      <w:r>
        <w:rPr>
          <w:rFonts w:hint="eastAsia" w:cs="Times New Roman"/>
          <w:lang w:val="en-US" w:eastAsia="zh-CN" w:bidi="ar-SA"/>
        </w:rPr>
        <w:t>As mentioned above, since the MBS broadcast service has already made some progress, and not much work on this feature is foreseen, there is still some time for our RAN3 to study whether to introduce intended service area for PWS service.</w:t>
      </w:r>
    </w:p>
    <w:p>
      <w:pPr>
        <w:pStyle w:val="2"/>
        <w:rPr>
          <w:rFonts w:hint="default" w:ascii="Times New Roman" w:hAnsi="Times New Roman" w:eastAsia="Times New Roman" w:cs="Times New Roman"/>
          <w:lang w:val="en-US" w:eastAsia="zh-CN" w:bidi="ar-SA"/>
        </w:rPr>
      </w:pPr>
      <w:r>
        <w:rPr>
          <w:rFonts w:hint="eastAsia" w:cs="Times New Roman"/>
          <w:lang w:val="en-US" w:eastAsia="zh-CN" w:bidi="ar-SA"/>
        </w:rPr>
        <w:t xml:space="preserve">Since Rel-17, it has been already agreed </w:t>
      </w:r>
      <w:r>
        <w:rPr>
          <w:rFonts w:hint="eastAsia" w:ascii="Times New Roman" w:hAnsi="Times New Roman" w:eastAsia="Times New Roman" w:cs="Times New Roman"/>
          <w:lang w:val="en-US" w:eastAsia="zh-CN" w:bidi="ar-SA"/>
        </w:rPr>
        <w:t>that cell ID used for PWS in NTN field corresponds to a mapped cell ID. C</w:t>
      </w:r>
      <w:r>
        <w:rPr>
          <w:rFonts w:hint="eastAsia" w:cs="Times New Roman"/>
          <w:lang w:val="en-US" w:eastAsia="zh-CN" w:bidi="ar-SA"/>
        </w:rPr>
        <w:t>urrently</w:t>
      </w:r>
      <w:r>
        <w:rPr>
          <w:rFonts w:hint="eastAsia" w:ascii="Times New Roman" w:hAnsi="Times New Roman" w:eastAsia="Times New Roman" w:cs="Times New Roman"/>
          <w:lang w:val="en-US" w:eastAsia="zh-CN" w:bidi="ar-SA"/>
        </w:rPr>
        <w:t>, in TS 38.413, the Warning Area List IE is contained in the PWS related messages(e.g.,</w:t>
      </w:r>
      <w:r>
        <w:rPr>
          <w:rFonts w:hint="eastAsia" w:cs="Times New Roman"/>
          <w:lang w:val="en-US" w:eastAsia="zh-CN" w:bidi="ar-SA"/>
        </w:rPr>
        <w:t xml:space="preserve"> </w:t>
      </w:r>
      <w:r>
        <w:rPr>
          <w:rFonts w:hint="eastAsia" w:ascii="Times New Roman" w:hAnsi="Times New Roman" w:eastAsia="Times New Roman" w:cs="Times New Roman"/>
          <w:lang w:val="en-US" w:eastAsia="zh-CN" w:bidi="ar-SA"/>
        </w:rPr>
        <w:t>WRITE-REPLACE WARNING REQUEST</w:t>
      </w:r>
      <w:r>
        <w:rPr>
          <w:rFonts w:hint="eastAsia" w:cs="Times New Roman"/>
          <w:lang w:val="en-US" w:eastAsia="zh-CN" w:bidi="ar-SA"/>
        </w:rPr>
        <w:t xml:space="preserve">, </w:t>
      </w:r>
      <w:r>
        <w:rPr>
          <w:rFonts w:hint="eastAsia" w:ascii="Times New Roman" w:hAnsi="Times New Roman" w:eastAsia="Times New Roman" w:cs="Times New Roman"/>
          <w:lang w:val="en-US" w:eastAsia="zh-CN" w:bidi="ar-SA"/>
        </w:rPr>
        <w:t>PWS CANCEL REQUEST)</w:t>
      </w:r>
      <w:r>
        <w:rPr>
          <w:rFonts w:hint="eastAsia" w:cs="Times New Roman"/>
          <w:lang w:val="en-US" w:eastAsia="zh-CN" w:bidi="ar-SA"/>
        </w:rPr>
        <w:t>, a</w:t>
      </w:r>
      <w:r>
        <w:rPr>
          <w:rFonts w:hint="eastAsia" w:ascii="Times New Roman" w:hAnsi="Times New Roman" w:eastAsia="Times New Roman" w:cs="Times New Roman"/>
          <w:lang w:val="en-US" w:eastAsia="zh-CN" w:bidi="ar-SA"/>
        </w:rPr>
        <w:t xml:space="preserve">s </w:t>
      </w:r>
      <w:r>
        <w:rPr>
          <w:rFonts w:hint="eastAsia" w:cs="Times New Roman"/>
          <w:lang w:val="en-US" w:eastAsia="zh-CN" w:bidi="ar-SA"/>
        </w:rPr>
        <w:t>given</w:t>
      </w:r>
      <w:r>
        <w:rPr>
          <w:rFonts w:hint="eastAsia" w:ascii="Times New Roman" w:hAnsi="Times New Roman" w:eastAsia="Times New Roman" w:cs="Times New Roman"/>
          <w:lang w:val="en-US" w:eastAsia="zh-CN" w:bidi="ar-SA"/>
        </w:rPr>
        <w:t xml:space="preserve"> below</w:t>
      </w:r>
      <w:r>
        <w:rPr>
          <w:rFonts w:hint="eastAsia" w:cs="Times New Roman"/>
          <w:lang w:val="en-US" w:eastAsia="zh-CN" w:bidi="ar-SA"/>
        </w:rPr>
        <w:t>.</w:t>
      </w:r>
    </w:p>
    <w:p>
      <w:pPr>
        <w:pStyle w:val="6"/>
        <w:numPr>
          <w:ilvl w:val="0"/>
          <w:numId w:val="0"/>
        </w:numPr>
        <w:ind w:left="0" w:firstLine="0"/>
        <w:rPr>
          <w:rFonts w:hint="default" w:ascii="Times New Roman" w:hAnsi="Times New Roman" w:eastAsia="Times New Roman" w:cs="Times New Roman"/>
          <w:sz w:val="20"/>
          <w:lang w:val="en-US" w:eastAsia="zh-CN" w:bidi="ar-SA"/>
        </w:rPr>
      </w:pPr>
      <w:bookmarkStart w:id="3" w:name="_Toc169665030"/>
      <w:r>
        <w:rPr>
          <w:rFonts w:hint="eastAsia" w:ascii="Times New Roman" w:hAnsi="Times New Roman" w:eastAsia="Times New Roman" w:cs="Times New Roman"/>
          <w:sz w:val="20"/>
          <w:lang w:val="en-US" w:eastAsia="zh-CN" w:bidi="ar-SA"/>
        </w:rPr>
        <w:t>---------------------------------------------------------TS 38.413--------------</w:t>
      </w:r>
      <w:r>
        <w:rPr>
          <w:rFonts w:hint="eastAsia" w:ascii="Times New Roman" w:hAnsi="Times New Roman" w:cs="Times New Roman"/>
          <w:sz w:val="20"/>
          <w:lang w:val="en-US" w:eastAsia="zh-CN" w:bidi="ar-SA"/>
        </w:rPr>
        <w:t>-----------------------</w:t>
      </w:r>
      <w:r>
        <w:rPr>
          <w:rFonts w:hint="eastAsia" w:ascii="Times New Roman" w:hAnsi="Times New Roman" w:eastAsia="Times New Roman" w:cs="Times New Roman"/>
          <w:sz w:val="20"/>
          <w:lang w:val="en-US" w:eastAsia="zh-CN" w:bidi="ar-SA"/>
        </w:rPr>
        <w:t>-----------------------------------</w:t>
      </w:r>
    </w:p>
    <w:p>
      <w:pPr>
        <w:pStyle w:val="6"/>
        <w:numPr>
          <w:ilvl w:val="0"/>
          <w:numId w:val="0"/>
        </w:numPr>
        <w:ind w:left="0" w:firstLine="0"/>
      </w:pPr>
      <w:r>
        <w:t>9.3.1.37</w:t>
      </w:r>
      <w:r>
        <w:tab/>
      </w:r>
      <w:r>
        <w:rPr>
          <w:rFonts w:cs="Arial"/>
          <w:szCs w:val="24"/>
        </w:rPr>
        <w:t>Warning Area List</w:t>
      </w:r>
      <w:bookmarkEnd w:id="3"/>
    </w:p>
    <w:p>
      <w:r>
        <w:rPr>
          <w:iCs/>
        </w:rPr>
        <w:t>This</w:t>
      </w:r>
      <w:r>
        <w:rPr>
          <w:i/>
          <w:iCs/>
        </w:rPr>
        <w:t xml:space="preserve"> </w:t>
      </w:r>
      <w:r>
        <w:t>IE indicates the areas where the warning message needs to be broadcast or cancelled.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noWrap w:val="0"/>
            <w:vAlign w:val="top"/>
          </w:tcPr>
          <w:p>
            <w:pPr>
              <w:pStyle w:val="55"/>
              <w:rPr>
                <w:rFonts w:cs="Arial"/>
                <w:lang w:eastAsia="ja-JP"/>
              </w:rPr>
            </w:pPr>
            <w:r>
              <w:rPr>
                <w:rFonts w:cs="Arial"/>
                <w:lang w:eastAsia="ja-JP"/>
              </w:rPr>
              <w:t>IE/Group Name</w:t>
            </w:r>
          </w:p>
        </w:tc>
        <w:tc>
          <w:tcPr>
            <w:tcW w:w="1020" w:type="dxa"/>
            <w:noWrap w:val="0"/>
            <w:vAlign w:val="top"/>
          </w:tcPr>
          <w:p>
            <w:pPr>
              <w:pStyle w:val="55"/>
              <w:rPr>
                <w:rFonts w:cs="Arial"/>
                <w:lang w:eastAsia="ja-JP"/>
              </w:rPr>
            </w:pPr>
            <w:r>
              <w:rPr>
                <w:rFonts w:cs="Arial"/>
                <w:lang w:eastAsia="ja-JP"/>
              </w:rPr>
              <w:t>Presence</w:t>
            </w:r>
          </w:p>
        </w:tc>
        <w:tc>
          <w:tcPr>
            <w:tcW w:w="1474" w:type="dxa"/>
            <w:noWrap w:val="0"/>
            <w:vAlign w:val="top"/>
          </w:tcPr>
          <w:p>
            <w:pPr>
              <w:pStyle w:val="55"/>
              <w:rPr>
                <w:rFonts w:cs="Arial"/>
                <w:lang w:eastAsia="ja-JP"/>
              </w:rPr>
            </w:pPr>
            <w:r>
              <w:rPr>
                <w:rFonts w:cs="Arial"/>
                <w:lang w:eastAsia="ja-JP"/>
              </w:rPr>
              <w:t>Range</w:t>
            </w:r>
          </w:p>
        </w:tc>
        <w:tc>
          <w:tcPr>
            <w:tcW w:w="1872" w:type="dxa"/>
            <w:noWrap w:val="0"/>
            <w:vAlign w:val="top"/>
          </w:tcPr>
          <w:p>
            <w:pPr>
              <w:pStyle w:val="55"/>
              <w:rPr>
                <w:rFonts w:cs="Arial"/>
                <w:lang w:eastAsia="ja-JP"/>
              </w:rPr>
            </w:pPr>
            <w:r>
              <w:rPr>
                <w:rFonts w:cs="Arial"/>
                <w:lang w:eastAsia="ja-JP"/>
              </w:rPr>
              <w:t>IE type and reference</w:t>
            </w:r>
          </w:p>
        </w:tc>
        <w:tc>
          <w:tcPr>
            <w:tcW w:w="2880" w:type="dxa"/>
            <w:noWrap w:val="0"/>
            <w:vAlign w:val="top"/>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rPr>
                <w:rFonts w:eastAsia="Batang" w:cs="Arial"/>
                <w:lang w:eastAsia="ja-JP"/>
              </w:rPr>
            </w:pPr>
            <w:r>
              <w:rPr>
                <w:rFonts w:cs="Arial"/>
                <w:szCs w:val="18"/>
                <w:lang w:eastAsia="ja-JP"/>
              </w:rPr>
              <w:t xml:space="preserve">CHOICE </w:t>
            </w:r>
            <w:r>
              <w:rPr>
                <w:rFonts w:cs="Arial"/>
                <w:i/>
                <w:szCs w:val="18"/>
                <w:lang w:eastAsia="ja-JP"/>
              </w:rPr>
              <w:t>Warning Area</w:t>
            </w:r>
          </w:p>
        </w:tc>
        <w:tc>
          <w:tcPr>
            <w:tcW w:w="1020" w:type="dxa"/>
            <w:noWrap w:val="0"/>
            <w:vAlign w:val="top"/>
          </w:tcPr>
          <w:p>
            <w:pPr>
              <w:pStyle w:val="57"/>
              <w:rPr>
                <w:rFonts w:cs="Arial"/>
                <w:lang w:eastAsia="ja-JP"/>
              </w:rPr>
            </w:pPr>
            <w:r>
              <w:rPr>
                <w:rFonts w:cs="Arial"/>
                <w:szCs w:val="18"/>
                <w:lang w:eastAsia="ja-JP"/>
              </w:rPr>
              <w:t>M</w:t>
            </w:r>
          </w:p>
        </w:tc>
        <w:tc>
          <w:tcPr>
            <w:tcW w:w="1474" w:type="dxa"/>
            <w:noWrap w:val="0"/>
            <w:vAlign w:val="top"/>
          </w:tcPr>
          <w:p>
            <w:pPr>
              <w:pStyle w:val="57"/>
              <w:rPr>
                <w:i/>
                <w:lang w:eastAsia="ja-JP"/>
              </w:rPr>
            </w:pPr>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100" w:leftChars="50"/>
              <w:rPr>
                <w:rFonts w:eastAsia="Batang" w:cs="Arial"/>
                <w:i/>
                <w:iCs/>
                <w:lang w:eastAsia="ja-JP"/>
              </w:rPr>
            </w:pPr>
            <w:r>
              <w:rPr>
                <w:rFonts w:cs="Arial"/>
                <w:bCs/>
                <w:i/>
                <w:iCs/>
                <w:szCs w:val="18"/>
                <w:lang w:eastAsia="ja-JP"/>
              </w:rPr>
              <w:t>&gt;E-UTRA Cell IDs</w:t>
            </w:r>
          </w:p>
        </w:tc>
        <w:tc>
          <w:tcPr>
            <w:tcW w:w="1020" w:type="dxa"/>
            <w:noWrap w:val="0"/>
            <w:vAlign w:val="top"/>
          </w:tcPr>
          <w:p>
            <w:pPr>
              <w:pStyle w:val="57"/>
              <w:rPr>
                <w:rFonts w:cs="Arial"/>
                <w:lang w:eastAsia="ja-JP"/>
              </w:rPr>
            </w:pPr>
          </w:p>
        </w:tc>
        <w:tc>
          <w:tcPr>
            <w:tcW w:w="1474" w:type="dxa"/>
            <w:noWrap w:val="0"/>
            <w:vAlign w:val="top"/>
          </w:tcPr>
          <w:p>
            <w:pPr>
              <w:pStyle w:val="57"/>
              <w:rPr>
                <w:i/>
                <w:lang w:eastAsia="ja-JP"/>
              </w:rPr>
            </w:pPr>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200" w:leftChars="100"/>
              <w:rPr>
                <w:rFonts w:cs="Arial"/>
                <w:b/>
                <w:iCs/>
                <w:szCs w:val="18"/>
                <w:lang w:eastAsia="ja-JP"/>
              </w:rPr>
            </w:pPr>
            <w:r>
              <w:rPr>
                <w:rFonts w:cs="Arial"/>
                <w:b/>
                <w:iCs/>
                <w:szCs w:val="18"/>
                <w:lang w:eastAsia="ja-JP"/>
              </w:rPr>
              <w:t>&gt;&gt;EUTRA CGI List for Warning</w:t>
            </w:r>
          </w:p>
        </w:tc>
        <w:tc>
          <w:tcPr>
            <w:tcW w:w="1020" w:type="dxa"/>
            <w:noWrap w:val="0"/>
            <w:vAlign w:val="top"/>
          </w:tcPr>
          <w:p>
            <w:pPr>
              <w:pStyle w:val="57"/>
              <w:rPr>
                <w:rFonts w:cs="Arial"/>
                <w:lang w:eastAsia="ja-JP"/>
              </w:rPr>
            </w:pPr>
          </w:p>
        </w:tc>
        <w:tc>
          <w:tcPr>
            <w:tcW w:w="1474" w:type="dxa"/>
            <w:noWrap w:val="0"/>
            <w:vAlign w:val="top"/>
          </w:tcPr>
          <w:p>
            <w:pPr>
              <w:pStyle w:val="57"/>
              <w:rPr>
                <w:rFonts w:cs="Arial"/>
                <w:i/>
                <w:szCs w:val="18"/>
                <w:lang w:eastAsia="ja-JP"/>
              </w:rPr>
            </w:pPr>
            <w:r>
              <w:rPr>
                <w:rFonts w:cs="Arial"/>
                <w:i/>
                <w:szCs w:val="18"/>
                <w:lang w:eastAsia="ja-JP"/>
              </w:rPr>
              <w:t>1..&lt;maxnoofCellIDforWarning&gt;</w:t>
            </w:r>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300" w:leftChars="150"/>
              <w:rPr>
                <w:rFonts w:eastAsia="Batang" w:cs="Arial"/>
                <w:lang w:eastAsia="ja-JP"/>
              </w:rPr>
            </w:pPr>
            <w:r>
              <w:rPr>
                <w:rFonts w:cs="Arial"/>
                <w:szCs w:val="18"/>
                <w:lang w:eastAsia="ja-JP"/>
              </w:rPr>
              <w:t>&gt;&gt;&gt;</w:t>
            </w:r>
            <w:r>
              <w:rPr>
                <w:rFonts w:cs="Arial"/>
                <w:szCs w:val="18"/>
              </w:rPr>
              <w:t>E-UTRA CGI</w:t>
            </w:r>
          </w:p>
        </w:tc>
        <w:tc>
          <w:tcPr>
            <w:tcW w:w="1020" w:type="dxa"/>
            <w:noWrap w:val="0"/>
            <w:vAlign w:val="top"/>
          </w:tcPr>
          <w:p>
            <w:pPr>
              <w:pStyle w:val="57"/>
              <w:rPr>
                <w:rFonts w:cs="Arial"/>
                <w:lang w:eastAsia="ja-JP"/>
              </w:rPr>
            </w:pPr>
            <w:r>
              <w:rPr>
                <w:rFonts w:cs="Arial"/>
                <w:szCs w:val="18"/>
                <w:lang w:eastAsia="ja-JP"/>
              </w:rPr>
              <w:t>M</w:t>
            </w:r>
          </w:p>
        </w:tc>
        <w:tc>
          <w:tcPr>
            <w:tcW w:w="1474" w:type="dxa"/>
            <w:noWrap w:val="0"/>
            <w:vAlign w:val="top"/>
          </w:tcPr>
          <w:p>
            <w:pPr>
              <w:pStyle w:val="57"/>
              <w:rPr>
                <w:i/>
                <w:lang w:eastAsia="ja-JP"/>
              </w:rPr>
            </w:pPr>
          </w:p>
        </w:tc>
        <w:tc>
          <w:tcPr>
            <w:tcW w:w="1872" w:type="dxa"/>
            <w:noWrap w:val="0"/>
            <w:vAlign w:val="top"/>
          </w:tcPr>
          <w:p>
            <w:pPr>
              <w:pStyle w:val="57"/>
              <w:rPr>
                <w:lang w:eastAsia="ja-JP"/>
              </w:rPr>
            </w:pPr>
            <w:r>
              <w:rPr>
                <w:rFonts w:cs="Arial"/>
                <w:szCs w:val="18"/>
              </w:rPr>
              <w:t>9.3.1.9</w:t>
            </w: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100" w:leftChars="50"/>
              <w:rPr>
                <w:rFonts w:eastAsia="Batang" w:cs="Arial"/>
                <w:i/>
                <w:iCs/>
                <w:lang w:eastAsia="ja-JP"/>
              </w:rPr>
            </w:pPr>
            <w:r>
              <w:rPr>
                <w:rFonts w:cs="Arial"/>
                <w:bCs/>
                <w:i/>
                <w:iCs/>
                <w:szCs w:val="18"/>
                <w:lang w:eastAsia="ja-JP"/>
              </w:rPr>
              <w:t>&gt;</w:t>
            </w:r>
            <w:r>
              <w:rPr>
                <w:rFonts w:cs="Arial"/>
                <w:bCs/>
                <w:i/>
                <w:iCs/>
                <w:szCs w:val="18"/>
                <w:highlight w:val="yellow"/>
                <w:lang w:eastAsia="ja-JP"/>
              </w:rPr>
              <w:t>NR Cell IDs</w:t>
            </w:r>
          </w:p>
        </w:tc>
        <w:tc>
          <w:tcPr>
            <w:tcW w:w="1020" w:type="dxa"/>
            <w:noWrap w:val="0"/>
            <w:vAlign w:val="top"/>
          </w:tcPr>
          <w:p>
            <w:pPr>
              <w:pStyle w:val="57"/>
              <w:rPr>
                <w:rFonts w:cs="Arial"/>
                <w:lang w:eastAsia="ja-JP"/>
              </w:rPr>
            </w:pPr>
          </w:p>
        </w:tc>
        <w:tc>
          <w:tcPr>
            <w:tcW w:w="1474" w:type="dxa"/>
            <w:noWrap w:val="0"/>
            <w:vAlign w:val="top"/>
          </w:tcPr>
          <w:p>
            <w:pPr>
              <w:pStyle w:val="57"/>
              <w:rPr>
                <w:i/>
                <w:lang w:eastAsia="ja-JP"/>
              </w:rPr>
            </w:pPr>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200" w:leftChars="100"/>
              <w:rPr>
                <w:rFonts w:cs="Arial"/>
                <w:b/>
                <w:bCs/>
                <w:iCs/>
                <w:szCs w:val="18"/>
                <w:lang w:eastAsia="ja-JP"/>
              </w:rPr>
            </w:pPr>
            <w:r>
              <w:rPr>
                <w:rFonts w:cs="Arial"/>
                <w:b/>
                <w:bCs/>
                <w:iCs/>
                <w:szCs w:val="18"/>
                <w:lang w:eastAsia="ja-JP"/>
              </w:rPr>
              <w:t>&gt;&gt;NR CGI List for Warning</w:t>
            </w:r>
          </w:p>
        </w:tc>
        <w:tc>
          <w:tcPr>
            <w:tcW w:w="1020" w:type="dxa"/>
            <w:noWrap w:val="0"/>
            <w:vAlign w:val="top"/>
          </w:tcPr>
          <w:p>
            <w:pPr>
              <w:pStyle w:val="57"/>
              <w:rPr>
                <w:rFonts w:cs="Arial"/>
                <w:lang w:eastAsia="ja-JP"/>
              </w:rPr>
            </w:pPr>
          </w:p>
        </w:tc>
        <w:tc>
          <w:tcPr>
            <w:tcW w:w="1474" w:type="dxa"/>
            <w:noWrap w:val="0"/>
            <w:vAlign w:val="top"/>
          </w:tcPr>
          <w:p>
            <w:pPr>
              <w:pStyle w:val="57"/>
              <w:rPr>
                <w:rFonts w:cs="Arial"/>
                <w:i/>
                <w:szCs w:val="18"/>
                <w:lang w:eastAsia="ja-JP"/>
              </w:rPr>
            </w:pPr>
            <w:r>
              <w:rPr>
                <w:rFonts w:cs="Arial"/>
                <w:i/>
                <w:szCs w:val="18"/>
                <w:lang w:eastAsia="ja-JP"/>
              </w:rPr>
              <w:t>1..&lt;maxnoofCellIDforWarning&gt;</w:t>
            </w:r>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300" w:leftChars="150"/>
              <w:rPr>
                <w:rFonts w:eastAsia="Batang" w:cs="Arial"/>
                <w:lang w:eastAsia="ja-JP"/>
              </w:rPr>
            </w:pPr>
            <w:r>
              <w:rPr>
                <w:rFonts w:cs="Arial"/>
                <w:szCs w:val="18"/>
                <w:lang w:eastAsia="ja-JP"/>
              </w:rPr>
              <w:t>&gt;&gt;&gt;NR CGI</w:t>
            </w:r>
          </w:p>
        </w:tc>
        <w:tc>
          <w:tcPr>
            <w:tcW w:w="1020" w:type="dxa"/>
            <w:noWrap w:val="0"/>
            <w:vAlign w:val="top"/>
          </w:tcPr>
          <w:p>
            <w:pPr>
              <w:pStyle w:val="57"/>
              <w:rPr>
                <w:rFonts w:cs="Arial"/>
                <w:lang w:eastAsia="ja-JP"/>
              </w:rPr>
            </w:pPr>
            <w:r>
              <w:rPr>
                <w:rFonts w:cs="Arial"/>
                <w:szCs w:val="18"/>
                <w:lang w:eastAsia="ja-JP"/>
              </w:rPr>
              <w:t>M</w:t>
            </w:r>
          </w:p>
        </w:tc>
        <w:tc>
          <w:tcPr>
            <w:tcW w:w="1474" w:type="dxa"/>
            <w:noWrap w:val="0"/>
            <w:vAlign w:val="top"/>
          </w:tcPr>
          <w:p>
            <w:pPr>
              <w:pStyle w:val="57"/>
              <w:rPr>
                <w:i/>
                <w:lang w:eastAsia="ja-JP"/>
              </w:rPr>
            </w:pPr>
          </w:p>
        </w:tc>
        <w:tc>
          <w:tcPr>
            <w:tcW w:w="1872" w:type="dxa"/>
            <w:noWrap w:val="0"/>
            <w:vAlign w:val="top"/>
          </w:tcPr>
          <w:p>
            <w:pPr>
              <w:pStyle w:val="57"/>
              <w:rPr>
                <w:lang w:eastAsia="ja-JP"/>
              </w:rPr>
            </w:pPr>
            <w:r>
              <w:rPr>
                <w:rFonts w:cs="Arial"/>
                <w:szCs w:val="18"/>
              </w:rPr>
              <w:t>9.3.1.7</w:t>
            </w: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100" w:leftChars="50"/>
              <w:rPr>
                <w:rFonts w:eastAsia="Batang" w:cs="Arial"/>
                <w:i/>
                <w:iCs/>
                <w:lang w:eastAsia="ja-JP"/>
              </w:rPr>
            </w:pPr>
            <w:r>
              <w:rPr>
                <w:rFonts w:cs="Arial"/>
                <w:bCs/>
                <w:i/>
                <w:iCs/>
                <w:szCs w:val="18"/>
                <w:lang w:eastAsia="ja-JP"/>
              </w:rPr>
              <w:t>&gt;</w:t>
            </w:r>
            <w:r>
              <w:rPr>
                <w:rFonts w:cs="Arial"/>
                <w:bCs/>
                <w:i/>
                <w:iCs/>
                <w:szCs w:val="18"/>
                <w:highlight w:val="yellow"/>
                <w:lang w:eastAsia="ja-JP"/>
              </w:rPr>
              <w:t>TAIs for Warning</w:t>
            </w:r>
          </w:p>
        </w:tc>
        <w:tc>
          <w:tcPr>
            <w:tcW w:w="1020" w:type="dxa"/>
            <w:noWrap w:val="0"/>
            <w:vAlign w:val="top"/>
          </w:tcPr>
          <w:p>
            <w:pPr>
              <w:pStyle w:val="57"/>
              <w:rPr>
                <w:rFonts w:cs="Arial"/>
                <w:lang w:eastAsia="ja-JP"/>
              </w:rPr>
            </w:pPr>
          </w:p>
        </w:tc>
        <w:tc>
          <w:tcPr>
            <w:tcW w:w="1474" w:type="dxa"/>
            <w:noWrap w:val="0"/>
            <w:vAlign w:val="top"/>
          </w:tcPr>
          <w:p>
            <w:pPr>
              <w:pStyle w:val="57"/>
              <w:rPr>
                <w:i/>
                <w:lang w:eastAsia="ja-JP"/>
              </w:rPr>
            </w:pPr>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200" w:leftChars="100"/>
              <w:rPr>
                <w:rFonts w:cs="Arial"/>
                <w:b/>
                <w:bCs/>
                <w:iCs/>
                <w:szCs w:val="18"/>
                <w:lang w:eastAsia="ja-JP"/>
              </w:rPr>
            </w:pPr>
            <w:r>
              <w:rPr>
                <w:rFonts w:cs="Arial"/>
                <w:b/>
                <w:bCs/>
                <w:iCs/>
                <w:szCs w:val="18"/>
                <w:lang w:eastAsia="ja-JP"/>
              </w:rPr>
              <w:t>&gt;&gt;TAI List for Warning</w:t>
            </w:r>
          </w:p>
        </w:tc>
        <w:tc>
          <w:tcPr>
            <w:tcW w:w="1020" w:type="dxa"/>
            <w:noWrap w:val="0"/>
            <w:vAlign w:val="top"/>
          </w:tcPr>
          <w:p>
            <w:pPr>
              <w:pStyle w:val="57"/>
              <w:rPr>
                <w:rFonts w:cs="Arial"/>
                <w:lang w:eastAsia="ja-JP"/>
              </w:rPr>
            </w:pPr>
          </w:p>
        </w:tc>
        <w:tc>
          <w:tcPr>
            <w:tcW w:w="1474" w:type="dxa"/>
            <w:noWrap w:val="0"/>
            <w:vAlign w:val="top"/>
          </w:tcPr>
          <w:p>
            <w:pPr>
              <w:pStyle w:val="57"/>
              <w:rPr>
                <w:rFonts w:cs="Arial"/>
                <w:i/>
                <w:szCs w:val="18"/>
                <w:lang w:eastAsia="ja-JP"/>
              </w:rPr>
            </w:pPr>
            <w:r>
              <w:rPr>
                <w:rFonts w:cs="Arial"/>
                <w:i/>
                <w:szCs w:val="18"/>
                <w:lang w:eastAsia="ja-JP"/>
              </w:rPr>
              <w:t>1..&lt;maxnoofTAIforWarning&gt;</w:t>
            </w:r>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300" w:leftChars="150"/>
              <w:rPr>
                <w:rFonts w:eastAsia="Batang" w:cs="Arial"/>
                <w:lang w:eastAsia="ja-JP"/>
              </w:rPr>
            </w:pPr>
            <w:r>
              <w:rPr>
                <w:rFonts w:cs="Arial"/>
                <w:szCs w:val="18"/>
                <w:lang w:eastAsia="ja-JP"/>
              </w:rPr>
              <w:t>&gt;&gt;&gt;TAI</w:t>
            </w:r>
          </w:p>
        </w:tc>
        <w:tc>
          <w:tcPr>
            <w:tcW w:w="1020" w:type="dxa"/>
            <w:noWrap w:val="0"/>
            <w:vAlign w:val="top"/>
          </w:tcPr>
          <w:p>
            <w:pPr>
              <w:pStyle w:val="57"/>
              <w:rPr>
                <w:rFonts w:cs="Arial"/>
                <w:lang w:eastAsia="ja-JP"/>
              </w:rPr>
            </w:pPr>
            <w:r>
              <w:rPr>
                <w:rFonts w:cs="Arial"/>
                <w:szCs w:val="18"/>
                <w:lang w:eastAsia="ja-JP"/>
              </w:rPr>
              <w:t>M</w:t>
            </w:r>
          </w:p>
        </w:tc>
        <w:tc>
          <w:tcPr>
            <w:tcW w:w="1474" w:type="dxa"/>
            <w:noWrap w:val="0"/>
            <w:vAlign w:val="top"/>
          </w:tcPr>
          <w:p>
            <w:pPr>
              <w:pStyle w:val="57"/>
              <w:rPr>
                <w:i/>
                <w:lang w:eastAsia="ja-JP"/>
              </w:rPr>
            </w:pPr>
          </w:p>
        </w:tc>
        <w:tc>
          <w:tcPr>
            <w:tcW w:w="1872" w:type="dxa"/>
            <w:noWrap w:val="0"/>
            <w:vAlign w:val="top"/>
          </w:tcPr>
          <w:p>
            <w:pPr>
              <w:pStyle w:val="57"/>
              <w:rPr>
                <w:lang w:eastAsia="ja-JP"/>
              </w:rPr>
            </w:pPr>
            <w:r>
              <w:rPr>
                <w:rFonts w:cs="Arial"/>
                <w:szCs w:val="18"/>
              </w:rPr>
              <w:t>9.3.3.11</w:t>
            </w: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100" w:leftChars="50"/>
              <w:rPr>
                <w:rFonts w:eastAsia="Batang" w:cs="Arial"/>
                <w:i/>
                <w:iCs/>
                <w:lang w:eastAsia="ja-JP"/>
              </w:rPr>
            </w:pPr>
            <w:r>
              <w:rPr>
                <w:rFonts w:cs="Arial"/>
                <w:bCs/>
                <w:i/>
                <w:iCs/>
                <w:szCs w:val="18"/>
                <w:lang w:eastAsia="ja-JP"/>
              </w:rPr>
              <w:t>&gt;</w:t>
            </w:r>
            <w:r>
              <w:rPr>
                <w:rFonts w:cs="Arial"/>
                <w:bCs/>
                <w:i/>
                <w:iCs/>
                <w:szCs w:val="18"/>
                <w:highlight w:val="yellow"/>
                <w:lang w:eastAsia="ja-JP"/>
              </w:rPr>
              <w:t>Emergency Area IDs</w:t>
            </w:r>
          </w:p>
        </w:tc>
        <w:tc>
          <w:tcPr>
            <w:tcW w:w="1020" w:type="dxa"/>
            <w:noWrap w:val="0"/>
            <w:vAlign w:val="top"/>
          </w:tcPr>
          <w:p>
            <w:pPr>
              <w:pStyle w:val="57"/>
              <w:rPr>
                <w:rFonts w:cs="Arial"/>
                <w:lang w:eastAsia="ja-JP"/>
              </w:rPr>
            </w:pPr>
          </w:p>
        </w:tc>
        <w:tc>
          <w:tcPr>
            <w:tcW w:w="1474" w:type="dxa"/>
            <w:noWrap w:val="0"/>
            <w:vAlign w:val="top"/>
          </w:tcPr>
          <w:p>
            <w:pPr>
              <w:pStyle w:val="57"/>
              <w:rPr>
                <w:i/>
                <w:lang w:eastAsia="ja-JP"/>
              </w:rPr>
            </w:pPr>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200" w:leftChars="100"/>
              <w:rPr>
                <w:rFonts w:cs="Arial"/>
                <w:b/>
                <w:bCs/>
                <w:iCs/>
                <w:szCs w:val="18"/>
                <w:lang w:eastAsia="ja-JP"/>
              </w:rPr>
            </w:pPr>
            <w:r>
              <w:rPr>
                <w:rFonts w:cs="Arial"/>
                <w:b/>
                <w:bCs/>
                <w:iCs/>
                <w:szCs w:val="18"/>
                <w:lang w:eastAsia="ja-JP"/>
              </w:rPr>
              <w:t>&gt;&gt;Emergency Area ID List</w:t>
            </w:r>
          </w:p>
        </w:tc>
        <w:tc>
          <w:tcPr>
            <w:tcW w:w="1020" w:type="dxa"/>
            <w:noWrap w:val="0"/>
            <w:vAlign w:val="top"/>
          </w:tcPr>
          <w:p>
            <w:pPr>
              <w:pStyle w:val="57"/>
              <w:rPr>
                <w:rFonts w:cs="Arial"/>
                <w:lang w:eastAsia="ja-JP"/>
              </w:rPr>
            </w:pPr>
          </w:p>
        </w:tc>
        <w:tc>
          <w:tcPr>
            <w:tcW w:w="1474" w:type="dxa"/>
            <w:noWrap w:val="0"/>
            <w:vAlign w:val="top"/>
          </w:tcPr>
          <w:p>
            <w:pPr>
              <w:pStyle w:val="57"/>
              <w:rPr>
                <w:rFonts w:cs="Arial"/>
                <w:i/>
                <w:szCs w:val="18"/>
                <w:lang w:eastAsia="ja-JP"/>
              </w:rPr>
            </w:pPr>
            <w:r>
              <w:rPr>
                <w:rFonts w:cs="Arial"/>
                <w:i/>
                <w:szCs w:val="18"/>
                <w:lang w:eastAsia="ja-JP"/>
              </w:rPr>
              <w:t>1..&lt;maxnoofEmergencyAreaID&gt;</w:t>
            </w:r>
          </w:p>
        </w:tc>
        <w:tc>
          <w:tcPr>
            <w:tcW w:w="1872" w:type="dxa"/>
            <w:noWrap w:val="0"/>
            <w:vAlign w:val="top"/>
          </w:tcPr>
          <w:p>
            <w:pPr>
              <w:pStyle w:val="57"/>
              <w:rPr>
                <w:lang w:eastAsia="ja-JP"/>
              </w:rPr>
            </w:pPr>
          </w:p>
        </w:tc>
        <w:tc>
          <w:tcPr>
            <w:tcW w:w="28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7"/>
              <w:ind w:left="300" w:leftChars="150"/>
              <w:rPr>
                <w:rFonts w:eastAsia="Batang" w:cs="Arial"/>
                <w:lang w:eastAsia="ja-JP"/>
              </w:rPr>
            </w:pPr>
            <w:r>
              <w:rPr>
                <w:rFonts w:cs="Arial"/>
                <w:szCs w:val="18"/>
                <w:lang w:eastAsia="ja-JP"/>
              </w:rPr>
              <w:t>&gt;&gt;&gt;Emergency Area ID</w:t>
            </w:r>
          </w:p>
        </w:tc>
        <w:tc>
          <w:tcPr>
            <w:tcW w:w="1020" w:type="dxa"/>
            <w:noWrap w:val="0"/>
            <w:vAlign w:val="top"/>
          </w:tcPr>
          <w:p>
            <w:pPr>
              <w:pStyle w:val="57"/>
              <w:rPr>
                <w:rFonts w:cs="Arial"/>
                <w:lang w:eastAsia="ja-JP"/>
              </w:rPr>
            </w:pPr>
            <w:r>
              <w:rPr>
                <w:rFonts w:cs="Arial"/>
                <w:szCs w:val="18"/>
                <w:lang w:eastAsia="ja-JP"/>
              </w:rPr>
              <w:t>M</w:t>
            </w:r>
          </w:p>
        </w:tc>
        <w:tc>
          <w:tcPr>
            <w:tcW w:w="1474" w:type="dxa"/>
            <w:noWrap w:val="0"/>
            <w:vAlign w:val="top"/>
          </w:tcPr>
          <w:p>
            <w:pPr>
              <w:pStyle w:val="57"/>
              <w:rPr>
                <w:i/>
                <w:lang w:eastAsia="ja-JP"/>
              </w:rPr>
            </w:pPr>
          </w:p>
        </w:tc>
        <w:tc>
          <w:tcPr>
            <w:tcW w:w="1872" w:type="dxa"/>
            <w:noWrap w:val="0"/>
            <w:vAlign w:val="top"/>
          </w:tcPr>
          <w:p>
            <w:pPr>
              <w:pStyle w:val="57"/>
              <w:rPr>
                <w:lang w:eastAsia="ja-JP"/>
              </w:rPr>
            </w:pPr>
            <w:r>
              <w:rPr>
                <w:rFonts w:cs="Arial"/>
                <w:szCs w:val="18"/>
              </w:rPr>
              <w:t>9.3.1.48</w:t>
            </w:r>
          </w:p>
        </w:tc>
        <w:tc>
          <w:tcPr>
            <w:tcW w:w="2880" w:type="dxa"/>
            <w:noWrap w:val="0"/>
            <w:vAlign w:val="top"/>
          </w:tcPr>
          <w:p>
            <w:pPr>
              <w:pStyle w:val="57"/>
              <w:rPr>
                <w:lang w:eastAsia="ja-JP"/>
              </w:rPr>
            </w:pPr>
          </w:p>
        </w:tc>
      </w:tr>
    </w:tbl>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5"/>
              <w:rPr>
                <w:rFonts w:cs="Arial"/>
                <w:lang w:eastAsia="ja-JP"/>
              </w:rPr>
            </w:pPr>
            <w:r>
              <w:rPr>
                <w:rFonts w:cs="Arial"/>
                <w:lang w:eastAsia="ja-JP"/>
              </w:rPr>
              <w:t>Range bound</w:t>
            </w:r>
          </w:p>
        </w:tc>
        <w:tc>
          <w:tcPr>
            <w:tcW w:w="6519" w:type="dxa"/>
            <w:noWrap w:val="0"/>
            <w:vAlign w:val="top"/>
          </w:tcPr>
          <w:p>
            <w:pPr>
              <w:pStyle w:val="55"/>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7"/>
              <w:rPr>
                <w:lang w:eastAsia="ja-JP"/>
              </w:rPr>
            </w:pPr>
            <w:r>
              <w:rPr>
                <w:rFonts w:cs="Arial"/>
                <w:szCs w:val="18"/>
                <w:lang w:eastAsia="ja-JP"/>
              </w:rPr>
              <w:t>maxnoofCellIDforWarning</w:t>
            </w:r>
          </w:p>
        </w:tc>
        <w:tc>
          <w:tcPr>
            <w:tcW w:w="6519" w:type="dxa"/>
            <w:noWrap w:val="0"/>
            <w:vAlign w:val="top"/>
          </w:tcPr>
          <w:p>
            <w:pPr>
              <w:pStyle w:val="57"/>
              <w:rPr>
                <w:lang w:eastAsia="ja-JP"/>
              </w:rPr>
            </w:pPr>
            <w:r>
              <w:rPr>
                <w:rFonts w:cs="Arial"/>
                <w:szCs w:val="18"/>
                <w:lang w:eastAsia="ja-JP"/>
              </w:rPr>
              <w:t>Maximum no. of Cell ID subject for warning message broadcast. Value is 65535.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7"/>
            </w:pPr>
            <w:r>
              <w:rPr>
                <w:rFonts w:cs="Arial"/>
                <w:szCs w:val="18"/>
                <w:lang w:eastAsia="ja-JP"/>
              </w:rPr>
              <w:t>maxnoofTAIforWarning</w:t>
            </w:r>
          </w:p>
        </w:tc>
        <w:tc>
          <w:tcPr>
            <w:tcW w:w="6519" w:type="dxa"/>
            <w:noWrap w:val="0"/>
            <w:vAlign w:val="top"/>
          </w:tcPr>
          <w:p>
            <w:pPr>
              <w:pStyle w:val="57"/>
            </w:pPr>
            <w:r>
              <w:rPr>
                <w:rFonts w:cs="Arial"/>
                <w:szCs w:val="18"/>
                <w:lang w:eastAsia="ja-JP"/>
              </w:rPr>
              <w:t>Maximum no. of TAI subject for warning message broadcast. Value is 65535.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7"/>
              <w:rPr>
                <w:lang w:eastAsia="ja-JP"/>
              </w:rPr>
            </w:pPr>
            <w:r>
              <w:rPr>
                <w:rFonts w:cs="Arial"/>
                <w:szCs w:val="18"/>
                <w:lang w:eastAsia="ja-JP"/>
              </w:rPr>
              <w:t>maxnoofEmergencyAreaID</w:t>
            </w:r>
          </w:p>
        </w:tc>
        <w:tc>
          <w:tcPr>
            <w:tcW w:w="6519" w:type="dxa"/>
            <w:noWrap w:val="0"/>
            <w:vAlign w:val="top"/>
          </w:tcPr>
          <w:p>
            <w:pPr>
              <w:pStyle w:val="57"/>
              <w:rPr>
                <w:lang w:eastAsia="ja-JP"/>
              </w:rPr>
            </w:pPr>
            <w:r>
              <w:rPr>
                <w:rFonts w:cs="Arial"/>
                <w:szCs w:val="18"/>
                <w:lang w:eastAsia="ja-JP"/>
              </w:rPr>
              <w:t>Maximum no. of Emergency Area ID subject for warning message broadcast. Value is 65535.</w:t>
            </w:r>
          </w:p>
        </w:tc>
      </w:tr>
    </w:tbl>
    <w:p>
      <w:pPr>
        <w:pStyle w:val="2"/>
        <w:rPr>
          <w:rFonts w:hint="eastAsia" w:ascii="Arial" w:hAnsi="Arial" w:cs="Arial"/>
          <w:b w:val="0"/>
          <w:bCs w:val="0"/>
          <w:highlight w:val="none"/>
          <w:lang w:val="en-US" w:eastAsia="zh-CN"/>
        </w:rPr>
      </w:pPr>
    </w:p>
    <w:p>
      <w:pPr>
        <w:pStyle w:val="6"/>
      </w:pPr>
      <w:bookmarkStart w:id="4" w:name="_Toc45798445"/>
      <w:bookmarkStart w:id="5" w:name="_Toc29504829"/>
      <w:bookmarkStart w:id="6" w:name="_Toc51746038"/>
      <w:bookmarkStart w:id="7" w:name="_Toc105174125"/>
      <w:bookmarkStart w:id="8" w:name="_Toc36553275"/>
      <w:bookmarkStart w:id="9" w:name="_Toc20955212"/>
      <w:bookmarkStart w:id="10" w:name="_Toc64446302"/>
      <w:bookmarkStart w:id="11" w:name="_Toc45897834"/>
      <w:bookmarkStart w:id="12" w:name="_Toc29503661"/>
      <w:bookmarkStart w:id="13" w:name="_Toc45658745"/>
      <w:bookmarkStart w:id="14" w:name="_Toc45652313"/>
      <w:bookmarkStart w:id="15" w:name="_Toc107409581"/>
      <w:bookmarkStart w:id="16" w:name="_Toc99123447"/>
      <w:bookmarkStart w:id="17" w:name="_Toc106109123"/>
      <w:bookmarkStart w:id="18" w:name="_Toc105152319"/>
      <w:bookmarkStart w:id="19" w:name="_Toc97891304"/>
      <w:bookmarkStart w:id="20" w:name="_Toc73982172"/>
      <w:bookmarkStart w:id="21" w:name="_Toc45720565"/>
      <w:bookmarkStart w:id="22" w:name="_Toc29504245"/>
      <w:bookmarkStart w:id="23" w:name="_Toc36555002"/>
      <w:bookmarkStart w:id="24" w:name="_Toc192842153"/>
      <w:bookmarkStart w:id="25" w:name="_Toc106123028"/>
      <w:bookmarkStart w:id="26" w:name="_Toc99662252"/>
      <w:bookmarkStart w:id="27" w:name="_Toc112756770"/>
      <w:bookmarkStart w:id="28" w:name="_Toc88652261"/>
      <w:r>
        <w:t>9.3.1.48</w:t>
      </w:r>
      <w:r>
        <w:tab/>
      </w:r>
      <w:r>
        <w:rPr>
          <w:rFonts w:cs="Arial"/>
          <w:szCs w:val="24"/>
        </w:rPr>
        <w:t>Emergency Area ID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
        <w:rPr>
          <w:iCs/>
        </w:rPr>
        <w:t>This</w:t>
      </w:r>
      <w:r>
        <w:t xml:space="preserve"> IE is used to indicate the area which has the emergency impact.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5"/>
              <w:rPr>
                <w:rFonts w:cs="Arial"/>
                <w:lang w:eastAsia="ja-JP"/>
              </w:rPr>
            </w:pPr>
            <w:r>
              <w:rPr>
                <w:rFonts w:cs="Arial"/>
                <w:lang w:eastAsia="ja-JP"/>
              </w:rPr>
              <w:t>IE/Group Name</w:t>
            </w:r>
          </w:p>
        </w:tc>
        <w:tc>
          <w:tcPr>
            <w:tcW w:w="1020" w:type="dxa"/>
          </w:tcPr>
          <w:p>
            <w:pPr>
              <w:pStyle w:val="55"/>
              <w:rPr>
                <w:rFonts w:cs="Arial"/>
                <w:lang w:eastAsia="ja-JP"/>
              </w:rPr>
            </w:pPr>
            <w:r>
              <w:rPr>
                <w:rFonts w:cs="Arial"/>
                <w:lang w:eastAsia="ja-JP"/>
              </w:rPr>
              <w:t>Presence</w:t>
            </w:r>
          </w:p>
        </w:tc>
        <w:tc>
          <w:tcPr>
            <w:tcW w:w="1474" w:type="dxa"/>
          </w:tcPr>
          <w:p>
            <w:pPr>
              <w:pStyle w:val="55"/>
              <w:rPr>
                <w:rFonts w:cs="Arial"/>
                <w:lang w:eastAsia="ja-JP"/>
              </w:rPr>
            </w:pPr>
            <w:r>
              <w:rPr>
                <w:rFonts w:cs="Arial"/>
                <w:lang w:eastAsia="ja-JP"/>
              </w:rPr>
              <w:t>Range</w:t>
            </w:r>
          </w:p>
        </w:tc>
        <w:tc>
          <w:tcPr>
            <w:tcW w:w="1872" w:type="dxa"/>
          </w:tcPr>
          <w:p>
            <w:pPr>
              <w:pStyle w:val="55"/>
              <w:rPr>
                <w:rFonts w:cs="Arial"/>
                <w:lang w:eastAsia="ja-JP"/>
              </w:rPr>
            </w:pPr>
            <w:r>
              <w:rPr>
                <w:rFonts w:cs="Arial"/>
                <w:lang w:eastAsia="ja-JP"/>
              </w:rPr>
              <w:t>IE type and reference</w:t>
            </w:r>
          </w:p>
        </w:tc>
        <w:tc>
          <w:tcPr>
            <w:tcW w:w="2880" w:type="dxa"/>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7"/>
              <w:rPr>
                <w:rFonts w:eastAsia="Batang" w:cs="Arial"/>
                <w:lang w:eastAsia="ja-JP"/>
              </w:rPr>
            </w:pPr>
            <w:r>
              <w:rPr>
                <w:rFonts w:cs="Arial"/>
                <w:bCs/>
                <w:szCs w:val="18"/>
                <w:lang w:eastAsia="ja-JP"/>
              </w:rPr>
              <w:t>Emergency Area ID</w:t>
            </w:r>
          </w:p>
        </w:tc>
        <w:tc>
          <w:tcPr>
            <w:tcW w:w="1020" w:type="dxa"/>
          </w:tcPr>
          <w:p>
            <w:pPr>
              <w:pStyle w:val="57"/>
              <w:rPr>
                <w:rFonts w:cs="Arial"/>
                <w:lang w:eastAsia="ja-JP"/>
              </w:rPr>
            </w:pPr>
            <w:r>
              <w:rPr>
                <w:rFonts w:cs="Arial"/>
                <w:szCs w:val="18"/>
                <w:lang w:eastAsia="ja-JP"/>
              </w:rPr>
              <w:t>M</w:t>
            </w:r>
          </w:p>
        </w:tc>
        <w:tc>
          <w:tcPr>
            <w:tcW w:w="1474" w:type="dxa"/>
          </w:tcPr>
          <w:p>
            <w:pPr>
              <w:pStyle w:val="57"/>
              <w:rPr>
                <w:i/>
                <w:lang w:eastAsia="ja-JP"/>
              </w:rPr>
            </w:pPr>
          </w:p>
        </w:tc>
        <w:tc>
          <w:tcPr>
            <w:tcW w:w="1872" w:type="dxa"/>
          </w:tcPr>
          <w:p>
            <w:pPr>
              <w:pStyle w:val="57"/>
              <w:rPr>
                <w:lang w:eastAsia="ja-JP"/>
              </w:rPr>
            </w:pPr>
            <w:r>
              <w:rPr>
                <w:rFonts w:cs="Arial"/>
                <w:szCs w:val="18"/>
                <w:lang w:eastAsia="ja-JP"/>
              </w:rPr>
              <w:t>OCTET STRING (SIZE(3))</w:t>
            </w:r>
          </w:p>
        </w:tc>
        <w:tc>
          <w:tcPr>
            <w:tcW w:w="2880" w:type="dxa"/>
          </w:tcPr>
          <w:p>
            <w:pPr>
              <w:pStyle w:val="57"/>
              <w:rPr>
                <w:lang w:eastAsia="ja-JP"/>
              </w:rPr>
            </w:pPr>
            <w:r>
              <w:rPr>
                <w:rFonts w:cs="Arial"/>
                <w:szCs w:val="18"/>
                <w:highlight w:val="yellow"/>
                <w:lang w:eastAsia="ja-JP"/>
              </w:rPr>
              <w:t>Emergency Area ID may consist of several cells.</w:t>
            </w:r>
            <w:r>
              <w:rPr>
                <w:rFonts w:cs="Arial"/>
                <w:szCs w:val="18"/>
                <w:lang w:eastAsia="ja-JP"/>
              </w:rPr>
              <w:t xml:space="preserve"> Emergency Area ID is defined by the operator.</w:t>
            </w:r>
          </w:p>
        </w:tc>
      </w:tr>
    </w:tbl>
    <w:p>
      <w:pPr>
        <w:pStyle w:val="6"/>
        <w:numPr>
          <w:ilvl w:val="0"/>
          <w:numId w:val="0"/>
        </w:numPr>
        <w:ind w:left="0" w:firstLine="0"/>
        <w:rPr>
          <w:rFonts w:hint="default" w:ascii="Times New Roman" w:hAnsi="Times New Roman" w:eastAsia="Times New Roman" w:cs="Times New Roman"/>
          <w:sz w:val="20"/>
          <w:lang w:val="en-US" w:eastAsia="zh-CN" w:bidi="ar-SA"/>
        </w:rPr>
      </w:pPr>
      <w:r>
        <w:rPr>
          <w:rFonts w:hint="eastAsia" w:ascii="Times New Roman" w:hAnsi="Times New Roman" w:eastAsia="Times New Roman" w:cs="Times New Roman"/>
          <w:sz w:val="20"/>
          <w:lang w:val="en-US" w:eastAsia="zh-CN" w:bidi="ar-SA"/>
        </w:rPr>
        <w:t>---------------------------------------------------------TS 38.413--------------</w:t>
      </w:r>
      <w:r>
        <w:rPr>
          <w:rFonts w:hint="eastAsia" w:ascii="Times New Roman" w:hAnsi="Times New Roman" w:cs="Times New Roman"/>
          <w:sz w:val="20"/>
          <w:lang w:val="en-US" w:eastAsia="zh-CN" w:bidi="ar-SA"/>
        </w:rPr>
        <w:t>-----------------------</w:t>
      </w:r>
      <w:r>
        <w:rPr>
          <w:rFonts w:hint="eastAsia" w:ascii="Times New Roman" w:hAnsi="Times New Roman" w:eastAsia="Times New Roman" w:cs="Times New Roman"/>
          <w:sz w:val="20"/>
          <w:lang w:val="en-US" w:eastAsia="zh-CN" w:bidi="ar-SA"/>
        </w:rPr>
        <w:t>-----------------------------------</w:t>
      </w:r>
    </w:p>
    <w:p>
      <w:pPr>
        <w:pStyle w:val="2"/>
        <w:rPr>
          <w:rFonts w:hint="eastAsia" w:cs="Times New Roman"/>
          <w:lang w:val="en-US" w:eastAsia="zh-CN" w:bidi="ar-SA"/>
        </w:rPr>
      </w:pPr>
      <w:r>
        <w:rPr>
          <w:rFonts w:hint="eastAsia" w:cs="Times New Roman"/>
          <w:lang w:val="en-US" w:eastAsia="zh-CN" w:bidi="ar-SA"/>
        </w:rPr>
        <w:t xml:space="preserve">Based on the current specification, in addition to the (Mapped) Cell ID and TAI, the Emergency Area ID can be also used for indicating the warning area. However, as given in the corresponding semantics description, the Emergency Area ID may consist of several cells, which cannot represent specific geographical area as agreed in the MBS broadcast service. </w:t>
      </w:r>
    </w:p>
    <w:p>
      <w:pPr>
        <w:pStyle w:val="2"/>
        <w:rPr>
          <w:rFonts w:hint="default" w:cs="Times New Roman"/>
          <w:lang w:val="en-US" w:eastAsia="zh-CN" w:bidi="ar-SA"/>
        </w:rPr>
      </w:pPr>
      <w:r>
        <w:rPr>
          <w:rFonts w:hint="eastAsia" w:cs="Times New Roman"/>
          <w:lang w:val="en-US" w:eastAsia="zh-CN" w:bidi="ar-SA"/>
        </w:rPr>
        <w:t>Generally, there could be some use cases that the PWS service only needs to be provided in the specific area, such as the fire alarm in the building, or the heavy traffic accidents at the crossroad. And the existing granularity of Warning Area may be not specified. Therefore, whether to introduce the signaling of intended service area for PWS service could be further discussed by our group.</w:t>
      </w:r>
    </w:p>
    <w:p>
      <w:pPr>
        <w:pStyle w:val="2"/>
        <w:rPr>
          <w:rFonts w:hint="default" w:ascii="Arial" w:hAnsi="Arial" w:cs="Arial"/>
          <w:b/>
          <w:bCs/>
          <w:lang w:val="en-US" w:eastAsia="zh-CN"/>
        </w:rPr>
      </w:pPr>
      <w:r>
        <w:rPr>
          <w:rFonts w:hint="eastAsia" w:ascii="Arial" w:hAnsi="Arial" w:cs="Arial"/>
          <w:b/>
          <w:bCs/>
          <w:lang w:val="en-US" w:eastAsia="zh-CN"/>
        </w:rPr>
        <w:t>Proposal: RAN3 shall discuss whether to introduce the signaling of intended service area for PWS service.</w:t>
      </w:r>
    </w:p>
    <w:p>
      <w:pPr>
        <w:pStyle w:val="3"/>
        <w:numPr>
          <w:ilvl w:val="0"/>
          <w:numId w:val="1"/>
        </w:numPr>
      </w:pPr>
      <w:r>
        <w:t>Conclusion</w:t>
      </w:r>
    </w:p>
    <w:p>
      <w:pPr>
        <w:pStyle w:val="2"/>
        <w:rPr>
          <w:rFonts w:hint="default" w:ascii="Arial" w:hAnsi="Arial" w:cs="Arial"/>
          <w:b/>
          <w:bCs/>
          <w:lang w:val="en-US" w:eastAsia="zh-CN"/>
        </w:rPr>
      </w:pPr>
      <w:r>
        <w:rPr>
          <w:rFonts w:hint="eastAsia" w:ascii="Arial" w:hAnsi="Arial" w:cs="Arial"/>
          <w:b/>
          <w:bCs/>
          <w:lang w:val="en-US" w:eastAsia="zh-CN"/>
        </w:rPr>
        <w:t>Proposal: RAN3 shall discuss whether to introduce the signaling of intended service area for PWS service.</w:t>
      </w:r>
    </w:p>
    <w:p>
      <w:pPr>
        <w:pStyle w:val="3"/>
        <w:numPr>
          <w:ilvl w:val="0"/>
          <w:numId w:val="0"/>
        </w:numPr>
        <w:ind w:leftChars="0"/>
        <w:rPr>
          <w:rFonts w:hint="default" w:ascii="Arial" w:hAnsi="Arial" w:cs="Arial"/>
          <w:lang w:val="en-US" w:eastAsia="zh-CN"/>
        </w:rPr>
      </w:pPr>
      <w:r>
        <w:rPr>
          <w:rFonts w:hint="eastAsia" w:ascii="Arial" w:hAnsi="Arial" w:cs="Arial"/>
          <w:lang w:val="en-US" w:eastAsia="zh-CN"/>
        </w:rPr>
        <w:t>4 Reference</w:t>
      </w:r>
    </w:p>
    <w:p>
      <w:pPr>
        <w:numPr>
          <w:ilvl w:val="0"/>
          <w:numId w:val="3"/>
        </w:numPr>
        <w:overflowPunct w:val="0"/>
        <w:autoSpaceDE w:val="0"/>
        <w:autoSpaceDN w:val="0"/>
        <w:adjustRightInd w:val="0"/>
        <w:spacing w:after="180"/>
        <w:textAlignment w:val="baseline"/>
        <w:rPr>
          <w:rFonts w:hint="default"/>
          <w:lang w:val="en-US" w:eastAsia="zh-CN"/>
        </w:rPr>
      </w:pPr>
      <w:r>
        <w:rPr>
          <w:rFonts w:hint="eastAsia" w:cs="Times New Roman"/>
          <w:sz w:val="20"/>
          <w:lang w:val="en-US" w:eastAsia="zh-CN"/>
        </w:rPr>
        <w:t>RAN3#127 Chairman Notes</w:t>
      </w:r>
    </w:p>
    <w:p>
      <w:pPr>
        <w:pStyle w:val="2"/>
        <w:rPr>
          <w:rFonts w:hint="default"/>
          <w:lang w:val="en-US" w:eastAsia="zh-CN"/>
        </w:rPr>
      </w:pPr>
      <w:r>
        <w:rPr>
          <w:rFonts w:hint="eastAsia" w:cs="Times New Roman"/>
          <w:sz w:val="20"/>
          <w:lang w:val="en-US" w:eastAsia="zh-CN"/>
        </w:rPr>
        <w:t>[2]   TS38.413 v18.5.0</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60465F"/>
    <w:multiLevelType w:val="multilevel"/>
    <w:tmpl w:val="0660465F"/>
    <w:lvl w:ilvl="0" w:tentative="0">
      <w:start w:val="1"/>
      <w:numFmt w:val="decimal"/>
      <w:lvlText w:val="%1"/>
      <w:lvlJc w:val="left"/>
      <w:pPr>
        <w:ind w:left="1140" w:hanging="1140"/>
      </w:pPr>
      <w:rPr>
        <w:rFonts w:hint="default"/>
      </w:r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23"/>
    <w:rsid w:val="00000DF0"/>
    <w:rsid w:val="00001E8F"/>
    <w:rsid w:val="00014226"/>
    <w:rsid w:val="00014E62"/>
    <w:rsid w:val="00020D4D"/>
    <w:rsid w:val="00022E4A"/>
    <w:rsid w:val="00024C18"/>
    <w:rsid w:val="000322C9"/>
    <w:rsid w:val="000366C6"/>
    <w:rsid w:val="00037266"/>
    <w:rsid w:val="00040535"/>
    <w:rsid w:val="000472E8"/>
    <w:rsid w:val="00051166"/>
    <w:rsid w:val="00051FFB"/>
    <w:rsid w:val="00052E2F"/>
    <w:rsid w:val="00053E5B"/>
    <w:rsid w:val="00061D0F"/>
    <w:rsid w:val="00067DCD"/>
    <w:rsid w:val="00082AAF"/>
    <w:rsid w:val="0008572C"/>
    <w:rsid w:val="00094C65"/>
    <w:rsid w:val="00094F0A"/>
    <w:rsid w:val="000A6394"/>
    <w:rsid w:val="000B1E7D"/>
    <w:rsid w:val="000C038A"/>
    <w:rsid w:val="000C064A"/>
    <w:rsid w:val="000C6598"/>
    <w:rsid w:val="000C6F99"/>
    <w:rsid w:val="000D0B23"/>
    <w:rsid w:val="000D6382"/>
    <w:rsid w:val="000D7535"/>
    <w:rsid w:val="000E0A86"/>
    <w:rsid w:val="000E1DB0"/>
    <w:rsid w:val="000F23FA"/>
    <w:rsid w:val="000F64C3"/>
    <w:rsid w:val="00104743"/>
    <w:rsid w:val="00112C4C"/>
    <w:rsid w:val="00125D1A"/>
    <w:rsid w:val="00127608"/>
    <w:rsid w:val="00145D43"/>
    <w:rsid w:val="0015337F"/>
    <w:rsid w:val="001562B4"/>
    <w:rsid w:val="00156BAB"/>
    <w:rsid w:val="0016043F"/>
    <w:rsid w:val="0016286B"/>
    <w:rsid w:val="001670C1"/>
    <w:rsid w:val="001763A1"/>
    <w:rsid w:val="00185C85"/>
    <w:rsid w:val="00190741"/>
    <w:rsid w:val="00191183"/>
    <w:rsid w:val="00192C46"/>
    <w:rsid w:val="001A7B60"/>
    <w:rsid w:val="001B5A74"/>
    <w:rsid w:val="001B6CDC"/>
    <w:rsid w:val="001B7A65"/>
    <w:rsid w:val="001C0700"/>
    <w:rsid w:val="001D2CB8"/>
    <w:rsid w:val="001E41F3"/>
    <w:rsid w:val="001E48D4"/>
    <w:rsid w:val="001F42A9"/>
    <w:rsid w:val="001F49B9"/>
    <w:rsid w:val="002158C8"/>
    <w:rsid w:val="00216319"/>
    <w:rsid w:val="00221103"/>
    <w:rsid w:val="002218D6"/>
    <w:rsid w:val="002432D9"/>
    <w:rsid w:val="002575FF"/>
    <w:rsid w:val="0026004D"/>
    <w:rsid w:val="00262C39"/>
    <w:rsid w:val="002636A7"/>
    <w:rsid w:val="00270C49"/>
    <w:rsid w:val="002717E9"/>
    <w:rsid w:val="00274611"/>
    <w:rsid w:val="0027588B"/>
    <w:rsid w:val="00275D12"/>
    <w:rsid w:val="002769EB"/>
    <w:rsid w:val="00281E97"/>
    <w:rsid w:val="002847E3"/>
    <w:rsid w:val="00284B2C"/>
    <w:rsid w:val="002860C4"/>
    <w:rsid w:val="002A37C8"/>
    <w:rsid w:val="002A47EF"/>
    <w:rsid w:val="002A7950"/>
    <w:rsid w:val="002B23F9"/>
    <w:rsid w:val="002B24C6"/>
    <w:rsid w:val="002B5741"/>
    <w:rsid w:val="002B5B7A"/>
    <w:rsid w:val="002B6246"/>
    <w:rsid w:val="002C238A"/>
    <w:rsid w:val="002C67A6"/>
    <w:rsid w:val="002D3EC8"/>
    <w:rsid w:val="002D666A"/>
    <w:rsid w:val="002E595A"/>
    <w:rsid w:val="00305409"/>
    <w:rsid w:val="0031746B"/>
    <w:rsid w:val="00332A03"/>
    <w:rsid w:val="00337E19"/>
    <w:rsid w:val="00352B9E"/>
    <w:rsid w:val="00352DB7"/>
    <w:rsid w:val="0035319E"/>
    <w:rsid w:val="00353346"/>
    <w:rsid w:val="0036005C"/>
    <w:rsid w:val="00372380"/>
    <w:rsid w:val="00376EE0"/>
    <w:rsid w:val="0038185D"/>
    <w:rsid w:val="00392B19"/>
    <w:rsid w:val="00396631"/>
    <w:rsid w:val="003A4E1D"/>
    <w:rsid w:val="003A5266"/>
    <w:rsid w:val="003B597F"/>
    <w:rsid w:val="003B6B30"/>
    <w:rsid w:val="003B741F"/>
    <w:rsid w:val="003B7609"/>
    <w:rsid w:val="003C12C0"/>
    <w:rsid w:val="003D15E8"/>
    <w:rsid w:val="003E1A36"/>
    <w:rsid w:val="003E6D04"/>
    <w:rsid w:val="003F54CE"/>
    <w:rsid w:val="0040623E"/>
    <w:rsid w:val="004101B7"/>
    <w:rsid w:val="00413032"/>
    <w:rsid w:val="00414765"/>
    <w:rsid w:val="00415AB4"/>
    <w:rsid w:val="004165D0"/>
    <w:rsid w:val="0041782D"/>
    <w:rsid w:val="004242F1"/>
    <w:rsid w:val="00436BA4"/>
    <w:rsid w:val="00447131"/>
    <w:rsid w:val="00461E7B"/>
    <w:rsid w:val="00463621"/>
    <w:rsid w:val="00467657"/>
    <w:rsid w:val="00477480"/>
    <w:rsid w:val="00477891"/>
    <w:rsid w:val="004839DB"/>
    <w:rsid w:val="004865D4"/>
    <w:rsid w:val="00494AFA"/>
    <w:rsid w:val="004A1950"/>
    <w:rsid w:val="004A20E3"/>
    <w:rsid w:val="004B4C2E"/>
    <w:rsid w:val="004B4D8C"/>
    <w:rsid w:val="004B5D54"/>
    <w:rsid w:val="004B75B7"/>
    <w:rsid w:val="004B7632"/>
    <w:rsid w:val="004E3F29"/>
    <w:rsid w:val="004F09CE"/>
    <w:rsid w:val="004F242B"/>
    <w:rsid w:val="004F3A43"/>
    <w:rsid w:val="004F7063"/>
    <w:rsid w:val="00501900"/>
    <w:rsid w:val="00503C37"/>
    <w:rsid w:val="005124D6"/>
    <w:rsid w:val="0051580D"/>
    <w:rsid w:val="00520062"/>
    <w:rsid w:val="00531871"/>
    <w:rsid w:val="00533FB1"/>
    <w:rsid w:val="00540E46"/>
    <w:rsid w:val="00564BDC"/>
    <w:rsid w:val="005656F3"/>
    <w:rsid w:val="005660FB"/>
    <w:rsid w:val="00573461"/>
    <w:rsid w:val="00577747"/>
    <w:rsid w:val="005838E3"/>
    <w:rsid w:val="005845F2"/>
    <w:rsid w:val="00592D74"/>
    <w:rsid w:val="00592FB9"/>
    <w:rsid w:val="00593B69"/>
    <w:rsid w:val="00594F9A"/>
    <w:rsid w:val="00596943"/>
    <w:rsid w:val="005A139E"/>
    <w:rsid w:val="005C3AAC"/>
    <w:rsid w:val="005C4D70"/>
    <w:rsid w:val="005D5858"/>
    <w:rsid w:val="005D6988"/>
    <w:rsid w:val="005E2C44"/>
    <w:rsid w:val="005E3D2A"/>
    <w:rsid w:val="005E4D8A"/>
    <w:rsid w:val="005F2108"/>
    <w:rsid w:val="005F436C"/>
    <w:rsid w:val="0060567A"/>
    <w:rsid w:val="00621188"/>
    <w:rsid w:val="006242E4"/>
    <w:rsid w:val="00625052"/>
    <w:rsid w:val="006257ED"/>
    <w:rsid w:val="00625B8F"/>
    <w:rsid w:val="0062763C"/>
    <w:rsid w:val="006310E9"/>
    <w:rsid w:val="006370F5"/>
    <w:rsid w:val="0064100B"/>
    <w:rsid w:val="00646C7D"/>
    <w:rsid w:val="0066371F"/>
    <w:rsid w:val="00663C7C"/>
    <w:rsid w:val="00674AF5"/>
    <w:rsid w:val="0067505B"/>
    <w:rsid w:val="006760A7"/>
    <w:rsid w:val="006804C7"/>
    <w:rsid w:val="00683AEE"/>
    <w:rsid w:val="00683FE9"/>
    <w:rsid w:val="006848B8"/>
    <w:rsid w:val="00695808"/>
    <w:rsid w:val="006A006D"/>
    <w:rsid w:val="006A1FD1"/>
    <w:rsid w:val="006A244F"/>
    <w:rsid w:val="006A5614"/>
    <w:rsid w:val="006B189C"/>
    <w:rsid w:val="006B46FB"/>
    <w:rsid w:val="006B7CF1"/>
    <w:rsid w:val="006C68BA"/>
    <w:rsid w:val="006D56BC"/>
    <w:rsid w:val="006E21FB"/>
    <w:rsid w:val="006E2505"/>
    <w:rsid w:val="006E74F4"/>
    <w:rsid w:val="006F54CD"/>
    <w:rsid w:val="00704B67"/>
    <w:rsid w:val="0071052A"/>
    <w:rsid w:val="00711130"/>
    <w:rsid w:val="007162BB"/>
    <w:rsid w:val="007302F8"/>
    <w:rsid w:val="007342B2"/>
    <w:rsid w:val="00742578"/>
    <w:rsid w:val="00750912"/>
    <w:rsid w:val="00755FF8"/>
    <w:rsid w:val="007577DB"/>
    <w:rsid w:val="00765952"/>
    <w:rsid w:val="00767F38"/>
    <w:rsid w:val="00773339"/>
    <w:rsid w:val="00775CD6"/>
    <w:rsid w:val="007767A3"/>
    <w:rsid w:val="00780EF7"/>
    <w:rsid w:val="007859F0"/>
    <w:rsid w:val="00792342"/>
    <w:rsid w:val="00795237"/>
    <w:rsid w:val="00797B47"/>
    <w:rsid w:val="007A2E18"/>
    <w:rsid w:val="007A34F3"/>
    <w:rsid w:val="007A676C"/>
    <w:rsid w:val="007A6F2E"/>
    <w:rsid w:val="007B512A"/>
    <w:rsid w:val="007B572B"/>
    <w:rsid w:val="007C2097"/>
    <w:rsid w:val="007C2145"/>
    <w:rsid w:val="007D6A07"/>
    <w:rsid w:val="007D7F20"/>
    <w:rsid w:val="007E4113"/>
    <w:rsid w:val="007E5F2D"/>
    <w:rsid w:val="007E5FC8"/>
    <w:rsid w:val="00802857"/>
    <w:rsid w:val="0080560F"/>
    <w:rsid w:val="00805D95"/>
    <w:rsid w:val="008073F5"/>
    <w:rsid w:val="008227DB"/>
    <w:rsid w:val="008279FA"/>
    <w:rsid w:val="00845D17"/>
    <w:rsid w:val="008551FA"/>
    <w:rsid w:val="008579E4"/>
    <w:rsid w:val="00860565"/>
    <w:rsid w:val="00861388"/>
    <w:rsid w:val="008626E7"/>
    <w:rsid w:val="00867C4E"/>
    <w:rsid w:val="00870EE7"/>
    <w:rsid w:val="00892F7B"/>
    <w:rsid w:val="00895808"/>
    <w:rsid w:val="008A0509"/>
    <w:rsid w:val="008B1F20"/>
    <w:rsid w:val="008C4751"/>
    <w:rsid w:val="008C6BE3"/>
    <w:rsid w:val="008C7A93"/>
    <w:rsid w:val="008E295B"/>
    <w:rsid w:val="008F686C"/>
    <w:rsid w:val="009017EE"/>
    <w:rsid w:val="00902925"/>
    <w:rsid w:val="0091064F"/>
    <w:rsid w:val="00913222"/>
    <w:rsid w:val="00916443"/>
    <w:rsid w:val="00917C9F"/>
    <w:rsid w:val="00931F17"/>
    <w:rsid w:val="00934B23"/>
    <w:rsid w:val="00936638"/>
    <w:rsid w:val="00940890"/>
    <w:rsid w:val="009510EF"/>
    <w:rsid w:val="00955FBC"/>
    <w:rsid w:val="00972525"/>
    <w:rsid w:val="009777D9"/>
    <w:rsid w:val="009824D9"/>
    <w:rsid w:val="00991B88"/>
    <w:rsid w:val="00995252"/>
    <w:rsid w:val="00996397"/>
    <w:rsid w:val="009A1081"/>
    <w:rsid w:val="009A579D"/>
    <w:rsid w:val="009A713E"/>
    <w:rsid w:val="009C41C1"/>
    <w:rsid w:val="009D1CDA"/>
    <w:rsid w:val="009D2908"/>
    <w:rsid w:val="009D4110"/>
    <w:rsid w:val="009D580C"/>
    <w:rsid w:val="009E0762"/>
    <w:rsid w:val="009E0CA5"/>
    <w:rsid w:val="009E3297"/>
    <w:rsid w:val="009F251D"/>
    <w:rsid w:val="009F734F"/>
    <w:rsid w:val="00A01D9B"/>
    <w:rsid w:val="00A04081"/>
    <w:rsid w:val="00A07158"/>
    <w:rsid w:val="00A10C0C"/>
    <w:rsid w:val="00A20AB3"/>
    <w:rsid w:val="00A21256"/>
    <w:rsid w:val="00A246B6"/>
    <w:rsid w:val="00A339CB"/>
    <w:rsid w:val="00A3732B"/>
    <w:rsid w:val="00A45896"/>
    <w:rsid w:val="00A45E3F"/>
    <w:rsid w:val="00A47E70"/>
    <w:rsid w:val="00A512CA"/>
    <w:rsid w:val="00A53AEF"/>
    <w:rsid w:val="00A749A4"/>
    <w:rsid w:val="00A7671C"/>
    <w:rsid w:val="00A77F09"/>
    <w:rsid w:val="00A80D87"/>
    <w:rsid w:val="00AB00C3"/>
    <w:rsid w:val="00AB1244"/>
    <w:rsid w:val="00AD1CD8"/>
    <w:rsid w:val="00AE4FAB"/>
    <w:rsid w:val="00AE5A38"/>
    <w:rsid w:val="00AE6E2C"/>
    <w:rsid w:val="00AF43A8"/>
    <w:rsid w:val="00AF78D4"/>
    <w:rsid w:val="00B0502B"/>
    <w:rsid w:val="00B1335A"/>
    <w:rsid w:val="00B24807"/>
    <w:rsid w:val="00B2576E"/>
    <w:rsid w:val="00B258BB"/>
    <w:rsid w:val="00B437CA"/>
    <w:rsid w:val="00B438BF"/>
    <w:rsid w:val="00B50379"/>
    <w:rsid w:val="00B53D26"/>
    <w:rsid w:val="00B560B5"/>
    <w:rsid w:val="00B60204"/>
    <w:rsid w:val="00B613E6"/>
    <w:rsid w:val="00B67B97"/>
    <w:rsid w:val="00B70BDD"/>
    <w:rsid w:val="00B76C75"/>
    <w:rsid w:val="00B8405C"/>
    <w:rsid w:val="00B90B9A"/>
    <w:rsid w:val="00B91E60"/>
    <w:rsid w:val="00B968C8"/>
    <w:rsid w:val="00BA3EC5"/>
    <w:rsid w:val="00BA72D9"/>
    <w:rsid w:val="00BB5DFC"/>
    <w:rsid w:val="00BD279D"/>
    <w:rsid w:val="00BD6BB8"/>
    <w:rsid w:val="00BE3B42"/>
    <w:rsid w:val="00C051C0"/>
    <w:rsid w:val="00C12DBC"/>
    <w:rsid w:val="00C15458"/>
    <w:rsid w:val="00C31B69"/>
    <w:rsid w:val="00C43BEF"/>
    <w:rsid w:val="00C466C0"/>
    <w:rsid w:val="00C5481B"/>
    <w:rsid w:val="00C573F0"/>
    <w:rsid w:val="00C6476E"/>
    <w:rsid w:val="00C70055"/>
    <w:rsid w:val="00C729B2"/>
    <w:rsid w:val="00C74ED2"/>
    <w:rsid w:val="00C95985"/>
    <w:rsid w:val="00C95B80"/>
    <w:rsid w:val="00CA0296"/>
    <w:rsid w:val="00CA6304"/>
    <w:rsid w:val="00CB0E9C"/>
    <w:rsid w:val="00CB512D"/>
    <w:rsid w:val="00CB67EA"/>
    <w:rsid w:val="00CC0420"/>
    <w:rsid w:val="00CC26F2"/>
    <w:rsid w:val="00CC5026"/>
    <w:rsid w:val="00CC644F"/>
    <w:rsid w:val="00CC7493"/>
    <w:rsid w:val="00CD4A46"/>
    <w:rsid w:val="00CE5C0E"/>
    <w:rsid w:val="00CE5D48"/>
    <w:rsid w:val="00D02097"/>
    <w:rsid w:val="00D034F2"/>
    <w:rsid w:val="00D03F9A"/>
    <w:rsid w:val="00D104E0"/>
    <w:rsid w:val="00D1539B"/>
    <w:rsid w:val="00D157AF"/>
    <w:rsid w:val="00D202FA"/>
    <w:rsid w:val="00D35F6F"/>
    <w:rsid w:val="00D608C3"/>
    <w:rsid w:val="00D62C76"/>
    <w:rsid w:val="00D63018"/>
    <w:rsid w:val="00D72226"/>
    <w:rsid w:val="00D94899"/>
    <w:rsid w:val="00D95B9C"/>
    <w:rsid w:val="00D96016"/>
    <w:rsid w:val="00DA0C16"/>
    <w:rsid w:val="00DB66FE"/>
    <w:rsid w:val="00DD5724"/>
    <w:rsid w:val="00DE34CF"/>
    <w:rsid w:val="00DE6E1D"/>
    <w:rsid w:val="00DF17CE"/>
    <w:rsid w:val="00E02866"/>
    <w:rsid w:val="00E15BA1"/>
    <w:rsid w:val="00E27E18"/>
    <w:rsid w:val="00E30D66"/>
    <w:rsid w:val="00E354A7"/>
    <w:rsid w:val="00E64117"/>
    <w:rsid w:val="00E746E2"/>
    <w:rsid w:val="00E81295"/>
    <w:rsid w:val="00E844E2"/>
    <w:rsid w:val="00E9007C"/>
    <w:rsid w:val="00E9743C"/>
    <w:rsid w:val="00EA32CF"/>
    <w:rsid w:val="00EA4243"/>
    <w:rsid w:val="00EA5E59"/>
    <w:rsid w:val="00EB2397"/>
    <w:rsid w:val="00EB3F46"/>
    <w:rsid w:val="00EB5F4F"/>
    <w:rsid w:val="00EC33CB"/>
    <w:rsid w:val="00ED3C15"/>
    <w:rsid w:val="00ED5560"/>
    <w:rsid w:val="00EE0733"/>
    <w:rsid w:val="00EE7D7C"/>
    <w:rsid w:val="00EF304B"/>
    <w:rsid w:val="00EF376B"/>
    <w:rsid w:val="00EF3A19"/>
    <w:rsid w:val="00F00A3D"/>
    <w:rsid w:val="00F03AED"/>
    <w:rsid w:val="00F03C76"/>
    <w:rsid w:val="00F10B0F"/>
    <w:rsid w:val="00F11694"/>
    <w:rsid w:val="00F2517E"/>
    <w:rsid w:val="00F25D98"/>
    <w:rsid w:val="00F26490"/>
    <w:rsid w:val="00F27A73"/>
    <w:rsid w:val="00F300FB"/>
    <w:rsid w:val="00F3190B"/>
    <w:rsid w:val="00F342DC"/>
    <w:rsid w:val="00F454F1"/>
    <w:rsid w:val="00F61596"/>
    <w:rsid w:val="00F67F33"/>
    <w:rsid w:val="00F726B6"/>
    <w:rsid w:val="00F75006"/>
    <w:rsid w:val="00F77D84"/>
    <w:rsid w:val="00F9031B"/>
    <w:rsid w:val="00F92B61"/>
    <w:rsid w:val="00FA4B05"/>
    <w:rsid w:val="00FA55A0"/>
    <w:rsid w:val="00FA6EA5"/>
    <w:rsid w:val="00FB45C7"/>
    <w:rsid w:val="00FB6386"/>
    <w:rsid w:val="00FB6CB3"/>
    <w:rsid w:val="00FB7DE3"/>
    <w:rsid w:val="00FC4650"/>
    <w:rsid w:val="00FE006E"/>
    <w:rsid w:val="00FE12CA"/>
    <w:rsid w:val="00FE57B3"/>
    <w:rsid w:val="02B6410D"/>
    <w:rsid w:val="06F80A43"/>
    <w:rsid w:val="080A562F"/>
    <w:rsid w:val="080F5CDE"/>
    <w:rsid w:val="091D492A"/>
    <w:rsid w:val="0C5D1396"/>
    <w:rsid w:val="0E862C7F"/>
    <w:rsid w:val="0EBD5734"/>
    <w:rsid w:val="0EEA75BD"/>
    <w:rsid w:val="12FF4188"/>
    <w:rsid w:val="15552100"/>
    <w:rsid w:val="159B7BD8"/>
    <w:rsid w:val="15CE4ED6"/>
    <w:rsid w:val="16735F57"/>
    <w:rsid w:val="169D33CB"/>
    <w:rsid w:val="16CE0C48"/>
    <w:rsid w:val="18194EBC"/>
    <w:rsid w:val="1E741A32"/>
    <w:rsid w:val="235D60F9"/>
    <w:rsid w:val="257E0CD7"/>
    <w:rsid w:val="27660F44"/>
    <w:rsid w:val="284F03E6"/>
    <w:rsid w:val="2A4F165D"/>
    <w:rsid w:val="2C8F155B"/>
    <w:rsid w:val="2FAE2899"/>
    <w:rsid w:val="376944EE"/>
    <w:rsid w:val="3B025E70"/>
    <w:rsid w:val="3D983BFB"/>
    <w:rsid w:val="41897C4B"/>
    <w:rsid w:val="44B96D4E"/>
    <w:rsid w:val="4A0C53D8"/>
    <w:rsid w:val="4B183374"/>
    <w:rsid w:val="4D5C31FA"/>
    <w:rsid w:val="4FC52EE6"/>
    <w:rsid w:val="50BC0796"/>
    <w:rsid w:val="51623B2B"/>
    <w:rsid w:val="51647E22"/>
    <w:rsid w:val="5708687A"/>
    <w:rsid w:val="580A3215"/>
    <w:rsid w:val="581E00BF"/>
    <w:rsid w:val="593B32BF"/>
    <w:rsid w:val="59EC329E"/>
    <w:rsid w:val="60817D33"/>
    <w:rsid w:val="65D564A6"/>
    <w:rsid w:val="6804082E"/>
    <w:rsid w:val="6A1F5577"/>
    <w:rsid w:val="6A470D9D"/>
    <w:rsid w:val="6BBA46CA"/>
    <w:rsid w:val="74D45F72"/>
    <w:rsid w:val="7A954D1D"/>
    <w:rsid w:val="7D0D2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35"/>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3"/>
    <w:qFormat/>
    <w:uiPriority w:val="0"/>
    <w:rPr>
      <w:b/>
      <w:bCs/>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5"/>
    <w:link w:val="101"/>
    <w:qFormat/>
    <w:uiPriority w:val="0"/>
  </w:style>
  <w:style w:type="paragraph" w:customStyle="1" w:styleId="80">
    <w:name w:val="B2"/>
    <w:basedOn w:val="14"/>
    <w:link w:val="105"/>
    <w:qFormat/>
    <w:uiPriority w:val="0"/>
  </w:style>
  <w:style w:type="paragraph" w:customStyle="1" w:styleId="81">
    <w:name w:val="B3"/>
    <w:basedOn w:val="13"/>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标题 3 字符"/>
    <w:link w:val="5"/>
    <w:qFormat/>
    <w:uiPriority w:val="0"/>
    <w:rPr>
      <w:rFonts w:ascii="Arial" w:hAnsi="Arial"/>
      <w:sz w:val="28"/>
      <w:lang w:val="en-GB"/>
    </w:rPr>
  </w:style>
  <w:style w:type="character" w:customStyle="1" w:styleId="96">
    <w:name w:val="标题 6 字符"/>
    <w:link w:val="8"/>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30"/>
    <w:qFormat/>
    <w:uiPriority w:val="0"/>
    <w:rPr>
      <w:rFonts w:ascii="Times New Roman" w:hAnsi="Times New Roman"/>
      <w:lang w:val="en-GB"/>
    </w:rPr>
  </w:style>
  <w:style w:type="character" w:customStyle="1" w:styleId="113">
    <w:name w:val="批注主题 字符"/>
    <w:link w:val="43"/>
    <w:qFormat/>
    <w:uiPriority w:val="0"/>
    <w:rPr>
      <w:rFonts w:ascii="Times New Roman" w:hAnsi="Times New Roman"/>
      <w:b/>
      <w:bCs/>
      <w:lang w:val="en-GB"/>
    </w:rPr>
  </w:style>
  <w:style w:type="character" w:customStyle="1" w:styleId="114">
    <w:name w:val="文档结构图 字符"/>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6"/>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F0BD9-B017-4561-981C-CE09ED86F34C}">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5</Pages>
  <Words>1604</Words>
  <Characters>9148</Characters>
  <Lines>76</Lines>
  <Paragraphs>21</Paragraphs>
  <TotalTime>12</TotalTime>
  <ScaleCrop>false</ScaleCrop>
  <LinksUpToDate>false</LinksUpToDate>
  <CharactersWithSpaces>10731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2024-09-30T01:39:00Z</dcterms:created>
  <dc:creator>ZTE</dc:creator>
  <cp:lastModifiedBy>ZTE</cp:lastModifiedBy>
  <cp:lastPrinted>2411-12-31T15:59:00Z</cp:lastPrinted>
  <dcterms:modified xsi:type="dcterms:W3CDTF">2025-03-28T05:49:19Z</dcterms:modified>
  <dc:title>Template for Text Proposal - RAN3 Meeting no XXX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8AEF1A872B6D43F798BFC15E3F570314</vt:lpwstr>
  </property>
</Properties>
</file>